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0C7" w:rsidRPr="009E25A0" w:rsidRDefault="007320C7" w:rsidP="007320C7">
      <w:pPr>
        <w:keepNext/>
        <w:keepLines/>
        <w:jc w:val="center"/>
        <w:outlineLvl w:val="0"/>
        <w:rPr>
          <w:b/>
          <w:bCs/>
        </w:rPr>
      </w:pPr>
      <w:bookmarkStart w:id="0" w:name="_Toc378081859"/>
      <w:bookmarkStart w:id="1" w:name="_Toc378082088"/>
      <w:bookmarkStart w:id="2" w:name="_Toc383528576"/>
      <w:bookmarkStart w:id="3" w:name="_Toc383528588"/>
      <w:bookmarkStart w:id="4" w:name="_Toc383528913"/>
      <w:bookmarkStart w:id="5" w:name="_Toc383528931"/>
      <w:bookmarkStart w:id="6" w:name="_Toc383529229"/>
      <w:bookmarkStart w:id="7" w:name="_Toc5444813"/>
      <w:r w:rsidRPr="009E25A0">
        <w:rPr>
          <w:b/>
          <w:bCs/>
        </w:rPr>
        <w:t xml:space="preserve">ПАСПОРТ УСЛУГИ (ПРОЦЕССА) </w:t>
      </w:r>
      <w:r w:rsidR="003A22E6" w:rsidRPr="009E25A0">
        <w:rPr>
          <w:b/>
          <w:bCs/>
        </w:rPr>
        <w:t>СЕТЕВОЙ ОРГАНИЗАЦИИ</w:t>
      </w:r>
    </w:p>
    <w:p w:rsidR="00BA29D9" w:rsidRPr="009E25A0" w:rsidRDefault="00BA29D9" w:rsidP="00471F66">
      <w:pPr>
        <w:pStyle w:val="1"/>
        <w:tabs>
          <w:tab w:val="left" w:pos="0"/>
        </w:tabs>
        <w:spacing w:before="240"/>
        <w:ind w:left="709"/>
        <w:jc w:val="center"/>
        <w:rPr>
          <w:rFonts w:ascii="Times New Roman" w:hAnsi="Times New Roman"/>
          <w:color w:val="auto"/>
          <w:sz w:val="24"/>
          <w:szCs w:val="24"/>
          <w:lang w:val="ru-RU"/>
        </w:rPr>
      </w:pPr>
      <w:bookmarkStart w:id="8" w:name="_Toc378081923"/>
      <w:bookmarkStart w:id="9" w:name="_Toc378082152"/>
      <w:bookmarkStart w:id="10" w:name="_Toc383528936"/>
      <w:bookmarkStart w:id="11" w:name="_Toc383529234"/>
      <w:bookmarkStart w:id="12" w:name="_Toc5444817"/>
      <w:bookmarkEnd w:id="0"/>
      <w:bookmarkEnd w:id="1"/>
      <w:bookmarkEnd w:id="2"/>
      <w:bookmarkEnd w:id="3"/>
      <w:bookmarkEnd w:id="4"/>
      <w:bookmarkEnd w:id="5"/>
      <w:bookmarkEnd w:id="6"/>
      <w:bookmarkEnd w:id="7"/>
      <w:r w:rsidRPr="009E25A0">
        <w:rPr>
          <w:rFonts w:ascii="Times New Roman" w:hAnsi="Times New Roman"/>
          <w:color w:val="auto"/>
          <w:sz w:val="24"/>
          <w:szCs w:val="24"/>
        </w:rPr>
        <w:t xml:space="preserve">Технологическое присоединение энергопринимающих устройств посредством перераспределения максимальной мощности </w:t>
      </w:r>
      <w:bookmarkEnd w:id="8"/>
      <w:bookmarkEnd w:id="9"/>
      <w:bookmarkEnd w:id="10"/>
      <w:bookmarkEnd w:id="11"/>
      <w:bookmarkEnd w:id="12"/>
    </w:p>
    <w:p w:rsidR="000C4E83" w:rsidRPr="009E25A0" w:rsidRDefault="000C4E83" w:rsidP="000C4E83"/>
    <w:p w:rsidR="000C4E83" w:rsidRPr="009E25A0" w:rsidRDefault="00CE629D" w:rsidP="00376C1F">
      <w:pPr>
        <w:ind w:firstLine="567"/>
        <w:jc w:val="both"/>
      </w:pPr>
      <w:r w:rsidRPr="009E25A0">
        <w:rPr>
          <w:b/>
          <w:u w:val="single"/>
        </w:rPr>
        <w:t>Круг заявителей:</w:t>
      </w:r>
      <w:r w:rsidRPr="009E25A0">
        <w:rPr>
          <w:b/>
        </w:rPr>
        <w:t xml:space="preserve"> </w:t>
      </w:r>
      <w:r w:rsidR="00F835E7" w:rsidRPr="009E25A0">
        <w:t>потребители электрической энергии, владельцы объектов по производству электрической энергии, владельцы объектов электросетевого хозяйства.</w:t>
      </w:r>
    </w:p>
    <w:p w:rsidR="000C4E83" w:rsidRPr="009E25A0" w:rsidRDefault="000C4E83" w:rsidP="00376C1F">
      <w:pPr>
        <w:ind w:firstLine="567"/>
        <w:jc w:val="both"/>
      </w:pPr>
    </w:p>
    <w:p w:rsidR="000C4E83" w:rsidRPr="009E25A0" w:rsidRDefault="00CE629D" w:rsidP="00376C1F">
      <w:pPr>
        <w:autoSpaceDE w:val="0"/>
        <w:autoSpaceDN w:val="0"/>
        <w:adjustRightInd w:val="0"/>
        <w:ind w:firstLine="567"/>
        <w:jc w:val="both"/>
        <w:rPr>
          <w:rFonts w:eastAsiaTheme="minorHAnsi"/>
          <w:b/>
          <w:bCs/>
          <w:lang w:eastAsia="en-US"/>
        </w:rPr>
      </w:pPr>
      <w:r w:rsidRPr="009E25A0">
        <w:rPr>
          <w:b/>
          <w:u w:val="single"/>
        </w:rPr>
        <w:t>Размер платы за предоставление услуги (процесса) и основание ее взимания:</w:t>
      </w:r>
      <w:r w:rsidRPr="009E25A0">
        <w:t xml:space="preserve"> </w:t>
      </w:r>
      <w:r w:rsidR="000C4E83" w:rsidRPr="009E25A0">
        <w:t>Размер платы за технологическое присоединение устанавливается уполномоченным</w:t>
      </w:r>
      <w:r w:rsidR="004104D6" w:rsidRPr="009E25A0">
        <w:t xml:space="preserve"> исполнительным</w:t>
      </w:r>
      <w:r w:rsidR="000C4E83" w:rsidRPr="009E25A0">
        <w:t xml:space="preserve"> органом </w:t>
      </w:r>
      <w:r w:rsidR="004104D6" w:rsidRPr="009E25A0">
        <w:t>субъекта Российской Федерации в области государственного регулирования тарифов</w:t>
      </w:r>
      <w:r w:rsidR="000C4E83" w:rsidRPr="009E25A0">
        <w:t>.</w:t>
      </w:r>
    </w:p>
    <w:p w:rsidR="004F3CBD" w:rsidRPr="009E25A0" w:rsidRDefault="004F3CBD" w:rsidP="00376C1F">
      <w:pPr>
        <w:autoSpaceDE w:val="0"/>
        <w:autoSpaceDN w:val="0"/>
        <w:adjustRightInd w:val="0"/>
        <w:ind w:firstLine="567"/>
        <w:jc w:val="both"/>
        <w:rPr>
          <w:b/>
          <w:u w:val="single"/>
        </w:rPr>
      </w:pPr>
    </w:p>
    <w:p w:rsidR="009E25A0" w:rsidRDefault="00CE629D" w:rsidP="009E25A0">
      <w:pPr>
        <w:autoSpaceDE w:val="0"/>
        <w:autoSpaceDN w:val="0"/>
        <w:adjustRightInd w:val="0"/>
        <w:ind w:firstLine="567"/>
        <w:jc w:val="both"/>
        <w:rPr>
          <w:b/>
          <w:u w:val="single"/>
        </w:rPr>
      </w:pPr>
      <w:r w:rsidRPr="009E25A0">
        <w:rPr>
          <w:b/>
          <w:u w:val="single"/>
        </w:rPr>
        <w:t xml:space="preserve">Условия оказания услуги (процесса): </w:t>
      </w:r>
    </w:p>
    <w:p w:rsidR="00F835E7" w:rsidRPr="009E25A0" w:rsidRDefault="00F835E7" w:rsidP="009E25A0">
      <w:pPr>
        <w:autoSpaceDE w:val="0"/>
        <w:autoSpaceDN w:val="0"/>
        <w:adjustRightInd w:val="0"/>
        <w:ind w:firstLine="567"/>
        <w:jc w:val="both"/>
        <w:rPr>
          <w:b/>
          <w:u w:val="single"/>
        </w:rPr>
      </w:pPr>
      <w:r w:rsidRPr="009E25A0">
        <w:t xml:space="preserve">Технологическое присоединение посредством перераспределения максимальной мощности, осуществляется на основании договора </w:t>
      </w:r>
      <w:r w:rsidR="009E25A0">
        <w:br/>
      </w:r>
      <w:r w:rsidRPr="009E25A0">
        <w:t xml:space="preserve">об осуществлении технологического присоединения к объектам электросетевого хозяйства, заключаемого между сетевой организацией </w:t>
      </w:r>
      <w:r w:rsidR="009E25A0">
        <w:br/>
      </w:r>
      <w:r w:rsidRPr="009E25A0">
        <w:t>и обратившимся к ней лицом. Указанный договор является публичным.</w:t>
      </w:r>
    </w:p>
    <w:p w:rsidR="006504BB" w:rsidRPr="009E25A0" w:rsidRDefault="002312C4" w:rsidP="009E25A0">
      <w:pPr>
        <w:autoSpaceDE w:val="0"/>
        <w:autoSpaceDN w:val="0"/>
        <w:adjustRightInd w:val="0"/>
        <w:ind w:firstLine="567"/>
        <w:jc w:val="both"/>
        <w:rPr>
          <w:rFonts w:eastAsiaTheme="minorHAnsi"/>
          <w:b/>
          <w:bCs/>
          <w:lang w:eastAsia="en-US"/>
        </w:rPr>
      </w:pPr>
      <w:r w:rsidRPr="009E25A0">
        <w:t>Заключенное соглашение между л</w:t>
      </w:r>
      <w:r w:rsidRPr="009E25A0">
        <w:rPr>
          <w:rFonts w:eastAsiaTheme="minorHAnsi"/>
          <w:lang w:eastAsia="en-US"/>
        </w:rPr>
        <w:t>ицом, имеющим на праве собственности (ином законном основании) энергопринимающие устройства, в отношении которых до 1 января 2009 г. в установленном порядке было осуществлено технологическое присоединение</w:t>
      </w:r>
      <w:r w:rsidR="009E25A0">
        <w:rPr>
          <w:rFonts w:eastAsiaTheme="minorHAnsi"/>
          <w:lang w:eastAsia="en-US"/>
        </w:rPr>
        <w:t xml:space="preserve"> </w:t>
      </w:r>
      <w:r w:rsidR="009E25A0">
        <w:rPr>
          <w:rFonts w:eastAsiaTheme="minorHAnsi"/>
          <w:lang w:eastAsia="en-US"/>
        </w:rPr>
        <w:br/>
      </w:r>
      <w:r w:rsidRPr="009E25A0">
        <w:rPr>
          <w:rFonts w:eastAsiaTheme="minorHAnsi"/>
          <w:lang w:eastAsia="en-US"/>
        </w:rPr>
        <w:t>к электрическим сетям, и иным владельцем энергопринимающих устройств, согласно которому снижается объем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документах о технологическом присоединении энергопринимающих устройств заявителя</w:t>
      </w:r>
      <w:r w:rsidR="004B4BF7" w:rsidRPr="009E25A0">
        <w:rPr>
          <w:rFonts w:eastAsiaTheme="minorHAnsi"/>
          <w:lang w:eastAsia="en-US"/>
        </w:rPr>
        <w:t xml:space="preserve">, в </w:t>
      </w:r>
      <w:r w:rsidR="00CE629D" w:rsidRPr="009E25A0">
        <w:t xml:space="preserve">пределах действия одного центра питания (при осуществлении перераспределения максимальной мощности </w:t>
      </w:r>
      <w:r w:rsidR="00D4650F" w:rsidRPr="009E25A0">
        <w:br/>
      </w:r>
      <w:r w:rsidR="00CE629D" w:rsidRPr="009E25A0">
        <w:t>в электрических сетях классом напряжения от 0,4 до 35 кВ центром питания считается питающая подстанция с классом напряжения 35 кВ, при осуществлении перераспределения максимальной мощности в электрических сетях классом напряжения свыше 35 кВ центром питания считается распределительное устройство подстанции,</w:t>
      </w:r>
      <w:r w:rsidR="00CE629D" w:rsidRPr="009E25A0">
        <w:rPr>
          <w:rFonts w:eastAsiaTheme="minorHAnsi"/>
          <w:lang w:eastAsia="en-US"/>
        </w:rPr>
        <w:t xml:space="preserve"> к которому осуществлено технологическое присоединение энергопринимающих устройств лица, перераспределяющего свою максимальную мощность</w:t>
      </w:r>
      <w:r w:rsidR="004B4BF7" w:rsidRPr="009E25A0">
        <w:t>).</w:t>
      </w:r>
    </w:p>
    <w:p w:rsidR="009E25A0" w:rsidRPr="009E25A0" w:rsidRDefault="009E25A0" w:rsidP="009E25A0">
      <w:pPr>
        <w:autoSpaceDE w:val="0"/>
        <w:autoSpaceDN w:val="0"/>
        <w:adjustRightInd w:val="0"/>
        <w:ind w:firstLine="708"/>
        <w:jc w:val="both"/>
        <w:rPr>
          <w:rFonts w:eastAsiaTheme="minorHAnsi"/>
          <w:lang w:eastAsia="en-US"/>
        </w:rPr>
      </w:pPr>
      <w:r w:rsidRPr="009E25A0">
        <w:rPr>
          <w:rFonts w:eastAsiaTheme="minorHAnsi"/>
          <w:lang w:eastAsia="en-US"/>
        </w:rPr>
        <w:t>Допускается перераспределение объема максимальной мощности нескольких лиц в пользу одного лица в пределах действия одного центра питания, а также перераспределение максимальной мощности между энергопринимающими устройствами, принадлежащими одному лицу.</w:t>
      </w:r>
    </w:p>
    <w:p w:rsidR="009E25A0" w:rsidRPr="009E25A0" w:rsidRDefault="009E25A0" w:rsidP="009E25A0">
      <w:pPr>
        <w:autoSpaceDE w:val="0"/>
        <w:autoSpaceDN w:val="0"/>
        <w:adjustRightInd w:val="0"/>
        <w:ind w:firstLine="708"/>
        <w:jc w:val="both"/>
        <w:rPr>
          <w:rFonts w:eastAsiaTheme="minorHAnsi"/>
          <w:lang w:eastAsia="en-US"/>
        </w:rPr>
      </w:pPr>
      <w:r w:rsidRPr="009E25A0">
        <w:rPr>
          <w:rFonts w:eastAsiaTheme="minorHAnsi"/>
          <w:lang w:eastAsia="en-US"/>
        </w:rPr>
        <w:t>Потребители электрической энергии, энергоснабжение энергопринимающих устройств которых осуществляется по третьей категории надежности электроснабжения, не вправе перераспределять свою максимальную мощность в пользу потребителей, энергоснабжение энергопринимающих устройств которых осуществляется по первой или второй категориям надежности электроснабжения.</w:t>
      </w:r>
    </w:p>
    <w:p w:rsidR="009E25A0" w:rsidRPr="009E25A0" w:rsidRDefault="009E25A0" w:rsidP="009E25A0">
      <w:pPr>
        <w:autoSpaceDE w:val="0"/>
        <w:autoSpaceDN w:val="0"/>
        <w:adjustRightInd w:val="0"/>
        <w:ind w:firstLine="708"/>
        <w:jc w:val="both"/>
        <w:rPr>
          <w:rFonts w:eastAsiaTheme="minorHAnsi"/>
          <w:lang w:eastAsia="en-US"/>
        </w:rPr>
      </w:pPr>
      <w:r w:rsidRPr="009E25A0">
        <w:rPr>
          <w:rFonts w:eastAsiaTheme="minorHAnsi"/>
          <w:lang w:eastAsia="en-US"/>
        </w:rPr>
        <w:t xml:space="preserve">Не допускается снижение объема максимальной мощности собственных энергопринимающих устройств с одновременным перераспределением объема снижения максимальной мощности лица, осуществившего технологическое присоединение энергопринимающих устройств, объектов электросетевого хозяйства, в пользу собственника или иного законного владельца объекта </w:t>
      </w:r>
      <w:r>
        <w:rPr>
          <w:rFonts w:eastAsiaTheme="minorHAnsi"/>
          <w:lang w:eastAsia="en-US"/>
        </w:rPr>
        <w:br/>
      </w:r>
      <w:r w:rsidRPr="009E25A0">
        <w:rPr>
          <w:rFonts w:eastAsiaTheme="minorHAnsi"/>
          <w:lang w:eastAsia="en-US"/>
        </w:rPr>
        <w:t>по производству электрической энергии.</w:t>
      </w:r>
    </w:p>
    <w:p w:rsidR="009E25A0" w:rsidRPr="009E25A0" w:rsidRDefault="009E25A0" w:rsidP="009E25A0">
      <w:pPr>
        <w:autoSpaceDE w:val="0"/>
        <w:autoSpaceDN w:val="0"/>
        <w:adjustRightInd w:val="0"/>
        <w:ind w:firstLine="708"/>
        <w:jc w:val="both"/>
        <w:rPr>
          <w:rFonts w:eastAsiaTheme="minorHAnsi"/>
          <w:lang w:eastAsia="en-US"/>
        </w:rPr>
      </w:pPr>
      <w:r w:rsidRPr="009E25A0">
        <w:rPr>
          <w:rFonts w:eastAsiaTheme="minorHAnsi"/>
          <w:lang w:eastAsia="en-US"/>
        </w:rPr>
        <w:t xml:space="preserve">Не допускается снижение объема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w:t>
      </w:r>
      <w:r>
        <w:rPr>
          <w:rFonts w:eastAsiaTheme="minorHAnsi"/>
          <w:lang w:eastAsia="en-US"/>
        </w:rPr>
        <w:br/>
      </w:r>
      <w:r w:rsidRPr="009E25A0">
        <w:rPr>
          <w:rFonts w:eastAsiaTheme="minorHAnsi"/>
          <w:lang w:eastAsia="en-US"/>
        </w:rPr>
        <w:t>в документах о технологическом присоединении энергопринимающих устройств, следующими лицами:</w:t>
      </w:r>
    </w:p>
    <w:p w:rsidR="009E25A0" w:rsidRPr="009E25A0" w:rsidRDefault="009E25A0" w:rsidP="009E25A0">
      <w:pPr>
        <w:autoSpaceDE w:val="0"/>
        <w:autoSpaceDN w:val="0"/>
        <w:adjustRightInd w:val="0"/>
        <w:jc w:val="both"/>
        <w:rPr>
          <w:rFonts w:eastAsiaTheme="minorHAnsi"/>
          <w:lang w:eastAsia="en-US"/>
        </w:rPr>
      </w:pPr>
      <w:r w:rsidRPr="009E25A0">
        <w:rPr>
          <w:rFonts w:eastAsiaTheme="minorHAnsi"/>
          <w:lang w:eastAsia="en-US"/>
        </w:rPr>
        <w:lastRenderedPageBreak/>
        <w:t>а) юридические лица или индивидуальные предприниматели, осуществившие технологическое присоединение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по третьей категории надежности;</w:t>
      </w:r>
    </w:p>
    <w:p w:rsidR="009E25A0" w:rsidRPr="009E25A0" w:rsidRDefault="009E25A0" w:rsidP="009E25A0">
      <w:pPr>
        <w:autoSpaceDE w:val="0"/>
        <w:autoSpaceDN w:val="0"/>
        <w:adjustRightInd w:val="0"/>
        <w:jc w:val="both"/>
        <w:rPr>
          <w:rFonts w:eastAsiaTheme="minorHAnsi"/>
          <w:lang w:eastAsia="en-US"/>
        </w:rPr>
      </w:pPr>
      <w:r w:rsidRPr="009E25A0">
        <w:rPr>
          <w:rFonts w:eastAsiaTheme="minorHAnsi"/>
          <w:lang w:eastAsia="en-US"/>
        </w:rPr>
        <w:t>б) лица, технологическое присоединение которых осуществлено по временной схеме электроснабжения;</w:t>
      </w:r>
    </w:p>
    <w:p w:rsidR="009E25A0" w:rsidRPr="009E25A0" w:rsidRDefault="009E25A0" w:rsidP="009E25A0">
      <w:pPr>
        <w:autoSpaceDE w:val="0"/>
        <w:autoSpaceDN w:val="0"/>
        <w:adjustRightInd w:val="0"/>
        <w:jc w:val="both"/>
        <w:rPr>
          <w:rFonts w:eastAsiaTheme="minorHAnsi"/>
          <w:lang w:eastAsia="en-US"/>
        </w:rPr>
      </w:pPr>
      <w:r w:rsidRPr="009E25A0">
        <w:rPr>
          <w:rFonts w:eastAsiaTheme="minorHAnsi"/>
          <w:lang w:eastAsia="en-US"/>
        </w:rPr>
        <w:t>в) физические лица в отношении энергопринимающих устройств, максимальная мощность которых составляет до 15 кВт включительно;</w:t>
      </w:r>
    </w:p>
    <w:p w:rsidR="009E25A0" w:rsidRPr="009E25A0" w:rsidRDefault="009E25A0" w:rsidP="009E25A0">
      <w:pPr>
        <w:autoSpaceDE w:val="0"/>
        <w:autoSpaceDN w:val="0"/>
        <w:adjustRightInd w:val="0"/>
        <w:jc w:val="both"/>
        <w:rPr>
          <w:rFonts w:eastAsiaTheme="minorHAnsi"/>
          <w:lang w:eastAsia="en-US"/>
        </w:rPr>
      </w:pPr>
      <w:r w:rsidRPr="009E25A0">
        <w:rPr>
          <w:rFonts w:eastAsiaTheme="minorHAnsi"/>
          <w:lang w:eastAsia="en-US"/>
        </w:rPr>
        <w:t>г) лица, энергопринимающие устройства которых присоединены к объектам электросетевого хозяйства, соответствующим критериям отнесения объектов к единой национальной (общероссийской) электрической сети;</w:t>
      </w:r>
    </w:p>
    <w:p w:rsidR="009E25A0" w:rsidRPr="009E25A0" w:rsidRDefault="009E25A0" w:rsidP="009E25A0">
      <w:pPr>
        <w:autoSpaceDE w:val="0"/>
        <w:autoSpaceDN w:val="0"/>
        <w:adjustRightInd w:val="0"/>
        <w:jc w:val="both"/>
        <w:rPr>
          <w:rFonts w:eastAsiaTheme="minorHAnsi"/>
          <w:lang w:eastAsia="en-US"/>
        </w:rPr>
      </w:pPr>
      <w:r w:rsidRPr="009E25A0">
        <w:rPr>
          <w:rFonts w:eastAsiaTheme="minorHAnsi"/>
          <w:lang w:eastAsia="en-US"/>
        </w:rPr>
        <w:t>д) лица, не внесшие плату за технологическое присоединение либо внесшие плату за технологическое присоединение не в полном объеме;</w:t>
      </w:r>
    </w:p>
    <w:p w:rsidR="009E25A0" w:rsidRPr="009E25A0" w:rsidRDefault="009E25A0" w:rsidP="009E25A0">
      <w:pPr>
        <w:autoSpaceDE w:val="0"/>
        <w:autoSpaceDN w:val="0"/>
        <w:adjustRightInd w:val="0"/>
        <w:jc w:val="both"/>
        <w:rPr>
          <w:rFonts w:eastAsiaTheme="minorHAnsi"/>
          <w:lang w:eastAsia="en-US"/>
        </w:rPr>
      </w:pPr>
      <w:r w:rsidRPr="009E25A0">
        <w:rPr>
          <w:rFonts w:eastAsiaTheme="minorHAnsi"/>
          <w:lang w:eastAsia="en-US"/>
        </w:rPr>
        <w:t>е) лица, осуществившие технологическое присоединение объектов по производству электрической энергии.</w:t>
      </w:r>
    </w:p>
    <w:p w:rsidR="009E25A0" w:rsidRPr="009E25A0" w:rsidRDefault="009E25A0" w:rsidP="009E25A0">
      <w:pPr>
        <w:autoSpaceDE w:val="0"/>
        <w:autoSpaceDN w:val="0"/>
        <w:adjustRightInd w:val="0"/>
        <w:ind w:firstLine="708"/>
        <w:jc w:val="both"/>
        <w:rPr>
          <w:rFonts w:eastAsiaTheme="minorHAnsi"/>
          <w:lang w:eastAsia="en-US"/>
        </w:rPr>
      </w:pPr>
      <w:r w:rsidRPr="009E25A0">
        <w:rPr>
          <w:rFonts w:eastAsiaTheme="minorHAnsi"/>
          <w:lang w:eastAsia="en-US"/>
        </w:rPr>
        <w:t>До выполнения в полном объеме технических условий лицом, максимальная мощность которого перераспределяется, а также лицом, в пользу которого осуществляется перераспределение мощности, присоединение энергопринимающих устройств лица, в пользу которого перераспределена максимальная мощность, не производится.</w:t>
      </w:r>
    </w:p>
    <w:p w:rsidR="009E25A0" w:rsidRPr="009E25A0" w:rsidRDefault="009E25A0" w:rsidP="009E25A0">
      <w:pPr>
        <w:autoSpaceDE w:val="0"/>
        <w:autoSpaceDN w:val="0"/>
        <w:adjustRightInd w:val="0"/>
        <w:ind w:firstLine="567"/>
        <w:jc w:val="both"/>
        <w:rPr>
          <w:rFonts w:eastAsiaTheme="minorHAnsi"/>
          <w:lang w:eastAsia="en-US"/>
        </w:rPr>
      </w:pPr>
      <w:r w:rsidRPr="009E25A0">
        <w:rPr>
          <w:rFonts w:eastAsiaTheme="minorHAnsi"/>
          <w:lang w:eastAsia="en-US"/>
        </w:rPr>
        <w:t xml:space="preserve">Лицо, заключившее соглашение о перераспределении мощности, максимальная мощность энергопринимающих устройств которого перераспределяется, обязано осуществить необходимые действия по уменьшению максимальной мощности своих энергопринимающих устройств до завершения срока осуществления мероприятий по технологическому присоединению энергопринимающих устройств лица, </w:t>
      </w:r>
      <w:r>
        <w:rPr>
          <w:rFonts w:eastAsiaTheme="minorHAnsi"/>
          <w:lang w:eastAsia="en-US"/>
        </w:rPr>
        <w:br/>
      </w:r>
      <w:r w:rsidRPr="009E25A0">
        <w:rPr>
          <w:rFonts w:eastAsiaTheme="minorHAnsi"/>
          <w:lang w:eastAsia="en-US"/>
        </w:rPr>
        <w:t>в пользу которого по соглашению о перераспределении мощности перераспределяется максимальная мощность.</w:t>
      </w:r>
    </w:p>
    <w:p w:rsidR="009E25A0" w:rsidRPr="009E25A0" w:rsidRDefault="009E25A0" w:rsidP="00817676">
      <w:pPr>
        <w:autoSpaceDE w:val="0"/>
        <w:autoSpaceDN w:val="0"/>
        <w:adjustRightInd w:val="0"/>
        <w:jc w:val="both"/>
        <w:rPr>
          <w:rFonts w:eastAsiaTheme="minorHAnsi"/>
          <w:b/>
          <w:bCs/>
          <w:lang w:eastAsia="en-US"/>
        </w:rPr>
      </w:pPr>
    </w:p>
    <w:p w:rsidR="000776D6" w:rsidRPr="009E25A0" w:rsidRDefault="00CE629D" w:rsidP="00376C1F">
      <w:pPr>
        <w:autoSpaceDE w:val="0"/>
        <w:autoSpaceDN w:val="0"/>
        <w:adjustRightInd w:val="0"/>
        <w:ind w:firstLine="567"/>
        <w:jc w:val="both"/>
      </w:pPr>
      <w:r w:rsidRPr="009E25A0">
        <w:rPr>
          <w:b/>
          <w:u w:val="single"/>
        </w:rPr>
        <w:t>Результат оказания услуги (процесса):</w:t>
      </w:r>
      <w:r w:rsidRPr="009E25A0">
        <w:t xml:space="preserve"> </w:t>
      </w:r>
      <w:r w:rsidR="000776D6" w:rsidRPr="009E25A0">
        <w:t>Наличие у объектов заявителя фактического технологического присоединения</w:t>
      </w:r>
      <w:r w:rsidR="00315E61" w:rsidRPr="009E25A0">
        <w:t>, осуществленного посредством перераспределения максимальной мощности и</w:t>
      </w:r>
      <w:r w:rsidR="000776D6" w:rsidRPr="009E25A0">
        <w:t xml:space="preserve"> подтвержденного соответствующими документами.</w:t>
      </w:r>
    </w:p>
    <w:p w:rsidR="004F3CBD" w:rsidRPr="009E25A0" w:rsidRDefault="004F3CBD" w:rsidP="00376C1F">
      <w:pPr>
        <w:autoSpaceDE w:val="0"/>
        <w:autoSpaceDN w:val="0"/>
        <w:adjustRightInd w:val="0"/>
        <w:ind w:firstLine="567"/>
        <w:jc w:val="both"/>
        <w:rPr>
          <w:b/>
          <w:u w:val="single"/>
        </w:rPr>
      </w:pPr>
    </w:p>
    <w:p w:rsidR="00CE629D" w:rsidRPr="009E25A0" w:rsidRDefault="00CE629D" w:rsidP="00376C1F">
      <w:pPr>
        <w:autoSpaceDE w:val="0"/>
        <w:autoSpaceDN w:val="0"/>
        <w:adjustRightInd w:val="0"/>
        <w:ind w:firstLine="567"/>
        <w:jc w:val="both"/>
        <w:rPr>
          <w:b/>
          <w:u w:val="single"/>
        </w:rPr>
      </w:pPr>
      <w:r w:rsidRPr="009E25A0">
        <w:rPr>
          <w:b/>
          <w:u w:val="single"/>
        </w:rPr>
        <w:t>Общий срок оказания услуги (процесса):</w:t>
      </w:r>
    </w:p>
    <w:p w:rsidR="00376C1F" w:rsidRPr="009E25A0" w:rsidRDefault="00376C1F" w:rsidP="00376C1F">
      <w:pPr>
        <w:autoSpaceDE w:val="0"/>
        <w:autoSpaceDN w:val="0"/>
        <w:adjustRightInd w:val="0"/>
        <w:ind w:firstLine="567"/>
        <w:jc w:val="both"/>
        <w:rPr>
          <w:b/>
          <w:u w:val="single"/>
        </w:rPr>
      </w:pPr>
    </w:p>
    <w:p w:rsidR="00CE629D" w:rsidRPr="009E25A0" w:rsidRDefault="00A24E3E" w:rsidP="00D4650F">
      <w:pPr>
        <w:autoSpaceDE w:val="0"/>
        <w:autoSpaceDN w:val="0"/>
        <w:adjustRightInd w:val="0"/>
        <w:ind w:firstLine="567"/>
        <w:jc w:val="both"/>
        <w:rPr>
          <w:rFonts w:eastAsia="Calibri"/>
          <w:bCs/>
        </w:rPr>
      </w:pPr>
      <w:r w:rsidRPr="009E25A0">
        <w:rPr>
          <w:rFonts w:eastAsia="Calibri"/>
          <w:bCs/>
        </w:rPr>
        <w:t>30 дней в случае</w:t>
      </w:r>
      <w:r w:rsidR="00CE629D" w:rsidRPr="009E25A0">
        <w:rPr>
          <w:rFonts w:eastAsia="Calibri"/>
          <w:bCs/>
        </w:rPr>
        <w:t xml:space="preserve"> отсутстви</w:t>
      </w:r>
      <w:r w:rsidRPr="009E25A0">
        <w:rPr>
          <w:rFonts w:eastAsia="Calibri"/>
          <w:bCs/>
        </w:rPr>
        <w:t>я</w:t>
      </w:r>
      <w:r w:rsidR="00CE629D" w:rsidRPr="009E25A0">
        <w:rPr>
          <w:rFonts w:eastAsia="Calibri"/>
          <w:bCs/>
        </w:rPr>
        <w:t xml:space="preserve"> необходимости строительства (реконструкции) объектов электросетевого хозяйства от существующих объектов электросетевого хозяйства сетевой организации до границ участка заявителя и (или) отсутствия необходимости выполнения работ</w:t>
      </w:r>
      <w:r w:rsidR="009E25A0">
        <w:rPr>
          <w:rFonts w:eastAsia="Calibri"/>
          <w:bCs/>
        </w:rPr>
        <w:t xml:space="preserve"> п</w:t>
      </w:r>
      <w:r w:rsidR="00CE629D" w:rsidRPr="009E25A0">
        <w:rPr>
          <w:rFonts w:eastAsia="Calibri"/>
          <w:bCs/>
        </w:rPr>
        <w:t>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w:t>
      </w:r>
      <w:r w:rsidRPr="009E25A0">
        <w:rPr>
          <w:rFonts w:eastAsia="Calibri"/>
          <w:bCs/>
        </w:rPr>
        <w:t>.</w:t>
      </w:r>
    </w:p>
    <w:p w:rsidR="000776D6" w:rsidRPr="009E25A0" w:rsidRDefault="000776D6" w:rsidP="00D4650F">
      <w:pPr>
        <w:autoSpaceDE w:val="0"/>
        <w:autoSpaceDN w:val="0"/>
        <w:adjustRightInd w:val="0"/>
        <w:ind w:firstLine="567"/>
        <w:jc w:val="both"/>
        <w:rPr>
          <w:rFonts w:eastAsia="Calibri"/>
          <w:bCs/>
        </w:rPr>
      </w:pPr>
      <w:r w:rsidRPr="009E25A0">
        <w:rPr>
          <w:rFonts w:eastAsia="Calibri"/>
          <w:bCs/>
        </w:rPr>
        <w:t xml:space="preserve">При </w:t>
      </w:r>
      <w:r w:rsidR="00315E61" w:rsidRPr="009E25A0">
        <w:rPr>
          <w:rFonts w:eastAsia="Calibri"/>
          <w:bCs/>
        </w:rPr>
        <w:t>перераспределении</w:t>
      </w:r>
      <w:r w:rsidRPr="009E25A0">
        <w:rPr>
          <w:rFonts w:eastAsia="Calibri"/>
          <w:bCs/>
        </w:rPr>
        <w:t xml:space="preserve"> мощности в пределах действия одного центра питания в пользу лица, ранее присоединенного к электрическим сетям, срок осуществления сетевой организацией мероприятий по технологическому присоединению не может превышать 30 дней.</w:t>
      </w:r>
    </w:p>
    <w:p w:rsidR="00A24E3E" w:rsidRPr="009E25A0" w:rsidRDefault="00A24E3E" w:rsidP="00A24E3E">
      <w:pPr>
        <w:autoSpaceDE w:val="0"/>
        <w:autoSpaceDN w:val="0"/>
        <w:adjustRightInd w:val="0"/>
        <w:ind w:firstLine="567"/>
        <w:jc w:val="both"/>
        <w:rPr>
          <w:rFonts w:eastAsiaTheme="minorHAnsi"/>
          <w:color w:val="000000" w:themeColor="text1"/>
          <w:lang w:eastAsia="en-US"/>
        </w:rPr>
      </w:pPr>
      <w:r w:rsidRPr="009E25A0">
        <w:rPr>
          <w:rFonts w:eastAsiaTheme="minorHAnsi"/>
          <w:color w:val="000000" w:themeColor="text1"/>
          <w:lang w:eastAsia="en-US"/>
        </w:rPr>
        <w:t xml:space="preserve">Срок осуществления мероприятий по технологическому присоединению энергопринимающих устройств лиц, в пользу которых предполагается перераспределить максимальную мощность, при технологическом присоединении таких лиц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если в соответствии с техническими условиями сетевой организации </w:t>
      </w:r>
      <w:r w:rsidRPr="009E25A0">
        <w:rPr>
          <w:rFonts w:eastAsiaTheme="minorHAnsi"/>
          <w:color w:val="000000" w:themeColor="text1"/>
          <w:lang w:eastAsia="en-US"/>
        </w:rPr>
        <w:br/>
        <w:t xml:space="preserve">не требуется выполнения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w:t>
      </w:r>
      <w:r w:rsidRPr="009E25A0">
        <w:rPr>
          <w:rFonts w:eastAsiaTheme="minorHAnsi"/>
          <w:color w:val="000000" w:themeColor="text1"/>
          <w:lang w:eastAsia="en-US"/>
        </w:rPr>
        <w:br/>
        <w:t>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сетевой организации до присоединяемых энергопринимающих устройств потребителя и (или) объектов электроэнергетики, не может превышать:</w:t>
      </w:r>
    </w:p>
    <w:p w:rsidR="00A24E3E" w:rsidRPr="009E25A0" w:rsidRDefault="00CD0816" w:rsidP="00A24E3E">
      <w:pPr>
        <w:autoSpaceDE w:val="0"/>
        <w:autoSpaceDN w:val="0"/>
        <w:adjustRightInd w:val="0"/>
        <w:jc w:val="both"/>
        <w:rPr>
          <w:rFonts w:eastAsiaTheme="minorHAnsi"/>
          <w:color w:val="000000" w:themeColor="text1"/>
          <w:lang w:eastAsia="en-US"/>
        </w:rPr>
      </w:pPr>
      <w:r w:rsidRPr="009E25A0">
        <w:rPr>
          <w:rFonts w:eastAsiaTheme="minorHAnsi"/>
          <w:color w:val="000000" w:themeColor="text1"/>
          <w:lang w:eastAsia="en-US"/>
        </w:rPr>
        <w:t>4 месяца</w:t>
      </w:r>
      <w:r w:rsidR="00A24E3E" w:rsidRPr="009E25A0">
        <w:rPr>
          <w:rFonts w:eastAsiaTheme="minorHAnsi"/>
          <w:color w:val="000000" w:themeColor="text1"/>
          <w:lang w:eastAsia="en-US"/>
        </w:rPr>
        <w:t xml:space="preserve"> - для заявителей, максимальная мощность энергопринимающих устройств которых составляет до 670 кВт;</w:t>
      </w:r>
    </w:p>
    <w:p w:rsidR="00A24E3E" w:rsidRPr="009E25A0" w:rsidRDefault="00A24E3E" w:rsidP="00A24E3E">
      <w:pPr>
        <w:autoSpaceDE w:val="0"/>
        <w:autoSpaceDN w:val="0"/>
        <w:adjustRightInd w:val="0"/>
        <w:jc w:val="both"/>
        <w:rPr>
          <w:rFonts w:eastAsiaTheme="minorHAnsi"/>
          <w:color w:val="000000" w:themeColor="text1"/>
          <w:lang w:eastAsia="en-US"/>
        </w:rPr>
      </w:pPr>
      <w:r w:rsidRPr="009E25A0">
        <w:rPr>
          <w:rFonts w:eastAsiaTheme="minorHAnsi"/>
          <w:color w:val="000000" w:themeColor="text1"/>
          <w:lang w:eastAsia="en-US"/>
        </w:rPr>
        <w:lastRenderedPageBreak/>
        <w:t>1 год - для заявителей, максимальная мощность энергопринимающих устройств которых составляет свыше 670 кВт.</w:t>
      </w:r>
    </w:p>
    <w:p w:rsidR="00A24E3E" w:rsidRPr="009E25A0" w:rsidRDefault="00A24E3E" w:rsidP="00A24E3E">
      <w:pPr>
        <w:autoSpaceDE w:val="0"/>
        <w:autoSpaceDN w:val="0"/>
        <w:adjustRightInd w:val="0"/>
        <w:ind w:firstLine="567"/>
        <w:jc w:val="both"/>
        <w:rPr>
          <w:rFonts w:eastAsiaTheme="minorHAnsi"/>
          <w:color w:val="000000" w:themeColor="text1"/>
          <w:lang w:eastAsia="en-US"/>
        </w:rPr>
      </w:pPr>
      <w:r w:rsidRPr="009E25A0">
        <w:rPr>
          <w:rFonts w:eastAsiaTheme="minorHAnsi"/>
          <w:color w:val="000000" w:themeColor="text1"/>
          <w:lang w:eastAsia="en-US"/>
        </w:rPr>
        <w:t>В случае если необходимо выполнить работы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мероприятия по технологическому присоединению выполняются сетевой организацией</w:t>
      </w:r>
      <w:r w:rsidRPr="009E25A0">
        <w:rPr>
          <w:rFonts w:eastAsiaTheme="minorHAnsi"/>
          <w:color w:val="000000" w:themeColor="text1"/>
          <w:lang w:eastAsia="en-US"/>
        </w:rPr>
        <w:br/>
        <w:t xml:space="preserve"> в следующие сроки:</w:t>
      </w:r>
    </w:p>
    <w:p w:rsidR="00A24E3E" w:rsidRPr="009E25A0" w:rsidRDefault="00A24E3E" w:rsidP="00A24E3E">
      <w:pPr>
        <w:autoSpaceDE w:val="0"/>
        <w:autoSpaceDN w:val="0"/>
        <w:adjustRightInd w:val="0"/>
        <w:jc w:val="both"/>
        <w:rPr>
          <w:rFonts w:eastAsiaTheme="minorHAnsi"/>
          <w:color w:val="000000" w:themeColor="text1"/>
          <w:lang w:eastAsia="en-US"/>
        </w:rPr>
      </w:pPr>
      <w:r w:rsidRPr="009E25A0">
        <w:rPr>
          <w:rFonts w:eastAsiaTheme="minorHAnsi"/>
          <w:color w:val="000000" w:themeColor="text1"/>
          <w:lang w:eastAsia="en-US"/>
        </w:rPr>
        <w:t xml:space="preserve">6 месяцев - если технологическое присоединение осуществляется к электрическим сетям, уровень напряжения которых составляет до 20 кВ включительно, и если расстояние от существующих электрических сетей необходимого класса напряжения до границ участка заявителя, </w:t>
      </w:r>
      <w:r w:rsidRPr="009E25A0">
        <w:rPr>
          <w:rFonts w:eastAsiaTheme="minorHAnsi"/>
          <w:color w:val="000000" w:themeColor="text1"/>
          <w:lang w:eastAsia="en-US"/>
        </w:rPr>
        <w:br/>
        <w:t>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w:t>
      </w:r>
    </w:p>
    <w:p w:rsidR="00A24E3E" w:rsidRPr="009E25A0" w:rsidRDefault="00A24E3E" w:rsidP="00A24E3E">
      <w:pPr>
        <w:autoSpaceDE w:val="0"/>
        <w:autoSpaceDN w:val="0"/>
        <w:adjustRightInd w:val="0"/>
        <w:jc w:val="both"/>
        <w:rPr>
          <w:rFonts w:eastAsiaTheme="minorHAnsi"/>
          <w:color w:val="000000" w:themeColor="text1"/>
          <w:lang w:eastAsia="en-US"/>
        </w:rPr>
      </w:pPr>
      <w:r w:rsidRPr="009E25A0">
        <w:rPr>
          <w:rFonts w:eastAsiaTheme="minorHAnsi"/>
          <w:color w:val="000000" w:themeColor="text1"/>
          <w:lang w:eastAsia="en-US"/>
        </w:rPr>
        <w:t>1 год - для заявителей, максимальная мощность энергопринимающих устройств которых составляет менее 670 кВт;</w:t>
      </w:r>
    </w:p>
    <w:p w:rsidR="00A24E3E" w:rsidRPr="009E25A0" w:rsidRDefault="00A24E3E" w:rsidP="00A24E3E">
      <w:pPr>
        <w:autoSpaceDE w:val="0"/>
        <w:autoSpaceDN w:val="0"/>
        <w:adjustRightInd w:val="0"/>
        <w:jc w:val="both"/>
        <w:rPr>
          <w:rFonts w:eastAsiaTheme="minorHAnsi"/>
          <w:color w:val="000000" w:themeColor="text1"/>
          <w:lang w:eastAsia="en-US"/>
        </w:rPr>
      </w:pPr>
      <w:r w:rsidRPr="009E25A0">
        <w:rPr>
          <w:rFonts w:eastAsiaTheme="minorHAnsi"/>
          <w:color w:val="000000" w:themeColor="text1"/>
          <w:lang w:eastAsia="en-US"/>
        </w:rPr>
        <w:t>2 года - для заявителей, максимальная мощность энергопринимающих устройств которых составляет не менее 670 кВт.</w:t>
      </w:r>
    </w:p>
    <w:p w:rsidR="00A24E3E" w:rsidRPr="009E25A0" w:rsidRDefault="0036472A" w:rsidP="00A24E3E">
      <w:pPr>
        <w:autoSpaceDE w:val="0"/>
        <w:autoSpaceDN w:val="0"/>
        <w:adjustRightInd w:val="0"/>
        <w:ind w:firstLine="567"/>
        <w:jc w:val="both"/>
        <w:rPr>
          <w:rFonts w:eastAsiaTheme="minorHAnsi"/>
          <w:color w:val="000000" w:themeColor="text1"/>
          <w:lang w:eastAsia="en-US"/>
        </w:rPr>
      </w:pPr>
      <w:r w:rsidRPr="009E25A0">
        <w:rPr>
          <w:rFonts w:eastAsiaTheme="minorHAnsi"/>
          <w:color w:val="000000" w:themeColor="text1"/>
          <w:lang w:eastAsia="en-US"/>
        </w:rPr>
        <w:t>Для заявителей, максимальная мощность энергопринимающих устройств которых составляет не менее 670 кВт, по инициативе (обращению) заявителя договором могут быть установлены иные сроки (но не более 4 лет).</w:t>
      </w:r>
    </w:p>
    <w:p w:rsidR="00A24E3E" w:rsidRPr="009E25A0" w:rsidRDefault="00A24E3E" w:rsidP="00A24E3E">
      <w:pPr>
        <w:autoSpaceDE w:val="0"/>
        <w:autoSpaceDN w:val="0"/>
        <w:adjustRightInd w:val="0"/>
        <w:jc w:val="both"/>
        <w:rPr>
          <w:rFonts w:eastAsiaTheme="minorHAnsi"/>
          <w:color w:val="000000" w:themeColor="text1"/>
          <w:lang w:eastAsia="en-US"/>
        </w:rPr>
      </w:pPr>
    </w:p>
    <w:p w:rsidR="00CE629D" w:rsidRPr="009E25A0" w:rsidRDefault="00CE629D" w:rsidP="009B3388">
      <w:pPr>
        <w:spacing w:before="120"/>
        <w:jc w:val="both"/>
        <w:outlineLvl w:val="0"/>
        <w:rPr>
          <w:b/>
          <w:u w:val="single"/>
        </w:rPr>
      </w:pPr>
      <w:r w:rsidRPr="009E25A0">
        <w:rPr>
          <w:b/>
          <w:u w:val="single"/>
        </w:rPr>
        <w:t>Состав, последовательность и сроки оказания услуги (процесса):</w:t>
      </w:r>
    </w:p>
    <w:p w:rsidR="00C63EF8" w:rsidRPr="009E25A0" w:rsidRDefault="00C63EF8" w:rsidP="009B3388">
      <w:pPr>
        <w:spacing w:before="120"/>
        <w:jc w:val="both"/>
        <w:outlineLvl w:val="0"/>
        <w:rPr>
          <w:b/>
          <w:u w:val="single"/>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6"/>
        <w:gridCol w:w="3408"/>
        <w:gridCol w:w="4111"/>
        <w:gridCol w:w="3969"/>
        <w:gridCol w:w="2410"/>
      </w:tblGrid>
      <w:tr w:rsidR="00DE32AA" w:rsidRPr="009E25A0" w:rsidTr="009E25A0">
        <w:tc>
          <w:tcPr>
            <w:tcW w:w="196" w:type="pct"/>
            <w:tcBorders>
              <w:top w:val="single" w:sz="4" w:space="0" w:color="auto"/>
              <w:left w:val="single" w:sz="4" w:space="0" w:color="auto"/>
              <w:bottom w:val="single" w:sz="4" w:space="0" w:color="auto"/>
              <w:right w:val="single" w:sz="4" w:space="0" w:color="auto"/>
            </w:tcBorders>
            <w:hideMark/>
          </w:tcPr>
          <w:p w:rsidR="007059DC" w:rsidRPr="009E25A0" w:rsidRDefault="007059DC" w:rsidP="000C4E83">
            <w:pPr>
              <w:jc w:val="center"/>
              <w:rPr>
                <w:b/>
                <w:bCs/>
                <w:lang w:eastAsia="en-US"/>
              </w:rPr>
            </w:pPr>
            <w:r w:rsidRPr="009E25A0">
              <w:rPr>
                <w:b/>
                <w:bCs/>
                <w:lang w:eastAsia="en-US"/>
              </w:rPr>
              <w:t>№</w:t>
            </w:r>
          </w:p>
        </w:tc>
        <w:tc>
          <w:tcPr>
            <w:tcW w:w="1178" w:type="pct"/>
            <w:tcBorders>
              <w:top w:val="single" w:sz="4" w:space="0" w:color="auto"/>
              <w:left w:val="single" w:sz="4" w:space="0" w:color="auto"/>
              <w:bottom w:val="single" w:sz="4" w:space="0" w:color="auto"/>
              <w:right w:val="single" w:sz="4" w:space="0" w:color="auto"/>
            </w:tcBorders>
            <w:hideMark/>
          </w:tcPr>
          <w:p w:rsidR="007059DC" w:rsidRPr="009E25A0" w:rsidRDefault="007059DC" w:rsidP="000C4E83">
            <w:pPr>
              <w:jc w:val="center"/>
              <w:rPr>
                <w:b/>
                <w:bCs/>
                <w:lang w:eastAsia="en-US"/>
              </w:rPr>
            </w:pPr>
            <w:r w:rsidRPr="009E25A0">
              <w:rPr>
                <w:b/>
              </w:rPr>
              <w:t>Содержание/условия этапа</w:t>
            </w:r>
          </w:p>
        </w:tc>
        <w:tc>
          <w:tcPr>
            <w:tcW w:w="1421" w:type="pct"/>
            <w:tcBorders>
              <w:top w:val="single" w:sz="4" w:space="0" w:color="auto"/>
              <w:left w:val="single" w:sz="4" w:space="0" w:color="auto"/>
              <w:bottom w:val="single" w:sz="4" w:space="0" w:color="auto"/>
              <w:right w:val="single" w:sz="4" w:space="0" w:color="auto"/>
            </w:tcBorders>
            <w:hideMark/>
          </w:tcPr>
          <w:p w:rsidR="007059DC" w:rsidRPr="009E25A0" w:rsidRDefault="007059DC" w:rsidP="000C4E83">
            <w:pPr>
              <w:jc w:val="center"/>
              <w:rPr>
                <w:b/>
                <w:bCs/>
                <w:lang w:eastAsia="en-US"/>
              </w:rPr>
            </w:pPr>
            <w:r w:rsidRPr="009E25A0">
              <w:rPr>
                <w:b/>
                <w:bCs/>
                <w:lang w:eastAsia="en-US"/>
              </w:rPr>
              <w:t>Форма предоставления</w:t>
            </w:r>
          </w:p>
        </w:tc>
        <w:tc>
          <w:tcPr>
            <w:tcW w:w="1372" w:type="pct"/>
            <w:tcBorders>
              <w:top w:val="single" w:sz="4" w:space="0" w:color="auto"/>
              <w:left w:val="single" w:sz="4" w:space="0" w:color="auto"/>
              <w:bottom w:val="single" w:sz="4" w:space="0" w:color="auto"/>
              <w:right w:val="single" w:sz="4" w:space="0" w:color="auto"/>
            </w:tcBorders>
            <w:hideMark/>
          </w:tcPr>
          <w:p w:rsidR="007059DC" w:rsidRPr="009E25A0" w:rsidRDefault="007059DC" w:rsidP="000C4E83">
            <w:pPr>
              <w:jc w:val="center"/>
              <w:rPr>
                <w:b/>
                <w:bCs/>
                <w:lang w:eastAsia="en-US"/>
              </w:rPr>
            </w:pPr>
            <w:r w:rsidRPr="009E25A0">
              <w:rPr>
                <w:b/>
                <w:bCs/>
                <w:lang w:eastAsia="en-US"/>
              </w:rPr>
              <w:t>Срок исполнения</w:t>
            </w:r>
          </w:p>
        </w:tc>
        <w:tc>
          <w:tcPr>
            <w:tcW w:w="833" w:type="pct"/>
            <w:tcBorders>
              <w:top w:val="single" w:sz="4" w:space="0" w:color="auto"/>
              <w:left w:val="single" w:sz="4" w:space="0" w:color="auto"/>
              <w:bottom w:val="single" w:sz="4" w:space="0" w:color="auto"/>
              <w:right w:val="single" w:sz="4" w:space="0" w:color="auto"/>
            </w:tcBorders>
            <w:hideMark/>
          </w:tcPr>
          <w:p w:rsidR="007059DC" w:rsidRPr="009E25A0" w:rsidRDefault="007059DC" w:rsidP="000C4E83">
            <w:pPr>
              <w:jc w:val="center"/>
              <w:rPr>
                <w:b/>
                <w:bCs/>
                <w:lang w:eastAsia="en-US"/>
              </w:rPr>
            </w:pPr>
            <w:r w:rsidRPr="009E25A0">
              <w:rPr>
                <w:b/>
                <w:bCs/>
                <w:lang w:eastAsia="en-US"/>
              </w:rPr>
              <w:t>Ссылка на нормативно правовой акт</w:t>
            </w:r>
          </w:p>
        </w:tc>
      </w:tr>
      <w:tr w:rsidR="00BD5C2B" w:rsidRPr="009E25A0" w:rsidTr="009E25A0">
        <w:trPr>
          <w:trHeight w:val="86"/>
        </w:trPr>
        <w:tc>
          <w:tcPr>
            <w:tcW w:w="196" w:type="pct"/>
            <w:tcBorders>
              <w:top w:val="single" w:sz="4" w:space="0" w:color="auto"/>
              <w:left w:val="single" w:sz="4" w:space="0" w:color="auto"/>
              <w:bottom w:val="single" w:sz="4" w:space="0" w:color="auto"/>
              <w:right w:val="single" w:sz="4" w:space="0" w:color="auto"/>
            </w:tcBorders>
            <w:hideMark/>
          </w:tcPr>
          <w:p w:rsidR="00BD5C2B" w:rsidRPr="009E25A0" w:rsidRDefault="00BD5C2B" w:rsidP="000C4E83">
            <w:pPr>
              <w:rPr>
                <w:b/>
                <w:bCs/>
                <w:lang w:eastAsia="en-US"/>
              </w:rPr>
            </w:pPr>
            <w:r w:rsidRPr="009E25A0">
              <w:rPr>
                <w:b/>
                <w:bCs/>
                <w:lang w:eastAsia="en-US"/>
              </w:rPr>
              <w:t>1</w:t>
            </w:r>
          </w:p>
        </w:tc>
        <w:tc>
          <w:tcPr>
            <w:tcW w:w="1178" w:type="pct"/>
            <w:tcBorders>
              <w:top w:val="single" w:sz="4" w:space="0" w:color="auto"/>
              <w:left w:val="single" w:sz="4" w:space="0" w:color="auto"/>
              <w:bottom w:val="single" w:sz="4" w:space="0" w:color="auto"/>
              <w:right w:val="single" w:sz="4" w:space="0" w:color="auto"/>
            </w:tcBorders>
          </w:tcPr>
          <w:p w:rsidR="00BD5C2B" w:rsidRPr="009E25A0" w:rsidRDefault="009E25A0" w:rsidP="009B3388">
            <w:pPr>
              <w:autoSpaceDE w:val="0"/>
              <w:autoSpaceDN w:val="0"/>
              <w:adjustRightInd w:val="0"/>
            </w:pPr>
            <w:r>
              <w:t xml:space="preserve">Направление заявителем </w:t>
            </w:r>
            <w:r w:rsidR="00BD5C2B" w:rsidRPr="009E25A0">
              <w:t xml:space="preserve">уведомления о перераспределении мощности </w:t>
            </w:r>
          </w:p>
        </w:tc>
        <w:tc>
          <w:tcPr>
            <w:tcW w:w="1421" w:type="pct"/>
            <w:tcBorders>
              <w:top w:val="single" w:sz="4" w:space="0" w:color="auto"/>
              <w:left w:val="single" w:sz="4" w:space="0" w:color="auto"/>
              <w:bottom w:val="single" w:sz="4" w:space="0" w:color="auto"/>
              <w:right w:val="single" w:sz="4" w:space="0" w:color="auto"/>
            </w:tcBorders>
            <w:hideMark/>
          </w:tcPr>
          <w:p w:rsidR="00BD5C2B" w:rsidRPr="009E25A0" w:rsidRDefault="00BD5C2B" w:rsidP="000C4E83">
            <w:pPr>
              <w:autoSpaceDE w:val="0"/>
              <w:autoSpaceDN w:val="0"/>
            </w:pPr>
            <w:r w:rsidRPr="009E25A0">
              <w:t xml:space="preserve">Личный кабинет на сайте Общества (в соответствии с Правилами технологического присоединения, </w:t>
            </w:r>
            <w:r w:rsidR="009E25A0">
              <w:t>у</w:t>
            </w:r>
            <w:r w:rsidRPr="009E25A0">
              <w:t xml:space="preserve">твержденными Постановлением Правительства РФ от 27.12.2004 </w:t>
            </w:r>
            <w:r w:rsidR="009E25A0">
              <w:br/>
            </w:r>
            <w:r w:rsidRPr="009E25A0">
              <w:t>№ 861),</w:t>
            </w:r>
          </w:p>
          <w:p w:rsidR="00BD5C2B" w:rsidRPr="009E25A0" w:rsidRDefault="00BD5C2B" w:rsidP="000C4E83">
            <w:pPr>
              <w:autoSpaceDE w:val="0"/>
              <w:autoSpaceDN w:val="0"/>
            </w:pPr>
            <w:r w:rsidRPr="009E25A0">
              <w:t>Очно в клиентском офисе,</w:t>
            </w:r>
          </w:p>
          <w:p w:rsidR="00BD5C2B" w:rsidRPr="009E25A0" w:rsidRDefault="00BD5C2B" w:rsidP="000C4E83">
            <w:pPr>
              <w:autoSpaceDE w:val="0"/>
              <w:autoSpaceDN w:val="0"/>
              <w:adjustRightInd w:val="0"/>
              <w:rPr>
                <w:lang w:eastAsia="en-US"/>
              </w:rPr>
            </w:pPr>
            <w:r w:rsidRPr="009E25A0">
              <w:t>Почтой</w:t>
            </w:r>
          </w:p>
        </w:tc>
        <w:tc>
          <w:tcPr>
            <w:tcW w:w="1372" w:type="pct"/>
            <w:tcBorders>
              <w:top w:val="single" w:sz="4" w:space="0" w:color="auto"/>
              <w:left w:val="single" w:sz="4" w:space="0" w:color="auto"/>
              <w:bottom w:val="single" w:sz="4" w:space="0" w:color="auto"/>
              <w:right w:val="single" w:sz="4" w:space="0" w:color="auto"/>
            </w:tcBorders>
            <w:hideMark/>
          </w:tcPr>
          <w:p w:rsidR="00BD5C2B" w:rsidRPr="009E25A0" w:rsidRDefault="00BD5C2B" w:rsidP="000C4E83">
            <w:pPr>
              <w:pStyle w:val="a3"/>
              <w:autoSpaceDE w:val="0"/>
              <w:autoSpaceDN w:val="0"/>
              <w:adjustRightInd w:val="0"/>
              <w:ind w:left="34"/>
              <w:rPr>
                <w:b/>
                <w:bCs/>
                <w:lang w:eastAsia="en-US"/>
              </w:rPr>
            </w:pPr>
            <w:r w:rsidRPr="009E25A0">
              <w:t>По желанию заявителя</w:t>
            </w:r>
          </w:p>
        </w:tc>
        <w:tc>
          <w:tcPr>
            <w:tcW w:w="833" w:type="pct"/>
            <w:vMerge w:val="restart"/>
            <w:tcBorders>
              <w:top w:val="single" w:sz="4" w:space="0" w:color="auto"/>
              <w:left w:val="single" w:sz="4" w:space="0" w:color="auto"/>
              <w:right w:val="single" w:sz="4" w:space="0" w:color="auto"/>
            </w:tcBorders>
            <w:hideMark/>
          </w:tcPr>
          <w:p w:rsidR="00BD5C2B" w:rsidRPr="009E25A0" w:rsidRDefault="00BD5C2B" w:rsidP="000C4E83">
            <w:pPr>
              <w:autoSpaceDE w:val="0"/>
              <w:autoSpaceDN w:val="0"/>
            </w:pPr>
            <w:r w:rsidRPr="009E25A0">
              <w:t xml:space="preserve">Правила технологического присоединения, утвержденные Постановлением Правительства РФ </w:t>
            </w:r>
            <w:r w:rsidRPr="009E25A0">
              <w:br/>
              <w:t>от 27.12.2004 № 861</w:t>
            </w:r>
          </w:p>
          <w:p w:rsidR="00BD5C2B" w:rsidRPr="009E25A0" w:rsidRDefault="00BD5C2B" w:rsidP="00C63EF8">
            <w:pPr>
              <w:autoSpaceDE w:val="0"/>
              <w:autoSpaceDN w:val="0"/>
            </w:pPr>
            <w:r w:rsidRPr="009E25A0">
              <w:t>(п. 34)</w:t>
            </w:r>
          </w:p>
          <w:p w:rsidR="00BD5C2B" w:rsidRPr="009E25A0" w:rsidRDefault="00BD5C2B" w:rsidP="000C4E83">
            <w:pPr>
              <w:autoSpaceDE w:val="0"/>
              <w:autoSpaceDN w:val="0"/>
            </w:pPr>
          </w:p>
          <w:p w:rsidR="00BD5C2B" w:rsidRPr="009E25A0" w:rsidRDefault="00BD5C2B" w:rsidP="000C4E83">
            <w:pPr>
              <w:rPr>
                <w:b/>
                <w:bCs/>
                <w:lang w:eastAsia="en-US"/>
              </w:rPr>
            </w:pPr>
          </w:p>
        </w:tc>
      </w:tr>
      <w:tr w:rsidR="00BD5C2B" w:rsidRPr="009E25A0" w:rsidTr="009E25A0">
        <w:trPr>
          <w:trHeight w:val="86"/>
        </w:trPr>
        <w:tc>
          <w:tcPr>
            <w:tcW w:w="196" w:type="pct"/>
            <w:tcBorders>
              <w:top w:val="single" w:sz="4" w:space="0" w:color="auto"/>
              <w:left w:val="single" w:sz="4" w:space="0" w:color="auto"/>
              <w:bottom w:val="single" w:sz="4" w:space="0" w:color="auto"/>
              <w:right w:val="single" w:sz="4" w:space="0" w:color="auto"/>
            </w:tcBorders>
          </w:tcPr>
          <w:p w:rsidR="00BD5C2B" w:rsidRPr="009E25A0" w:rsidRDefault="00BD5C2B" w:rsidP="000C4E83">
            <w:pPr>
              <w:rPr>
                <w:b/>
                <w:bCs/>
                <w:lang w:eastAsia="en-US"/>
              </w:rPr>
            </w:pPr>
            <w:r w:rsidRPr="009E25A0">
              <w:rPr>
                <w:b/>
                <w:bCs/>
                <w:lang w:eastAsia="en-US"/>
              </w:rPr>
              <w:t>2</w:t>
            </w:r>
          </w:p>
        </w:tc>
        <w:tc>
          <w:tcPr>
            <w:tcW w:w="1178" w:type="pct"/>
            <w:tcBorders>
              <w:top w:val="single" w:sz="4" w:space="0" w:color="auto"/>
              <w:left w:val="single" w:sz="4" w:space="0" w:color="auto"/>
              <w:bottom w:val="single" w:sz="4" w:space="0" w:color="auto"/>
              <w:right w:val="single" w:sz="4" w:space="0" w:color="auto"/>
            </w:tcBorders>
          </w:tcPr>
          <w:p w:rsidR="00BD5C2B" w:rsidRPr="009E25A0" w:rsidRDefault="00BD5C2B" w:rsidP="000C4E83">
            <w:pPr>
              <w:autoSpaceDE w:val="0"/>
              <w:autoSpaceDN w:val="0"/>
            </w:pPr>
            <w:r w:rsidRPr="009E25A0">
              <w:t>Проверка соответствия комплекта документов согласно требованиям законодательства в части полноты представленных документов и сведений</w:t>
            </w:r>
          </w:p>
        </w:tc>
        <w:tc>
          <w:tcPr>
            <w:tcW w:w="1421" w:type="pct"/>
            <w:tcBorders>
              <w:top w:val="single" w:sz="4" w:space="0" w:color="auto"/>
              <w:left w:val="single" w:sz="4" w:space="0" w:color="auto"/>
              <w:bottom w:val="single" w:sz="4" w:space="0" w:color="auto"/>
              <w:right w:val="single" w:sz="4" w:space="0" w:color="auto"/>
            </w:tcBorders>
          </w:tcPr>
          <w:p w:rsidR="00BD5C2B" w:rsidRPr="009E25A0" w:rsidRDefault="00BD5C2B" w:rsidP="000C4E83">
            <w:pPr>
              <w:autoSpaceDE w:val="0"/>
              <w:autoSpaceDN w:val="0"/>
              <w:adjustRightInd w:val="0"/>
              <w:rPr>
                <w:lang w:eastAsia="en-US"/>
              </w:rPr>
            </w:pPr>
            <w:r w:rsidRPr="009E25A0">
              <w:t>В случае наличия основания письменный запрос в адрес заявителя (по почте или лично через клиентский офис – по желанию заявителя)</w:t>
            </w:r>
          </w:p>
        </w:tc>
        <w:tc>
          <w:tcPr>
            <w:tcW w:w="1372" w:type="pct"/>
            <w:tcBorders>
              <w:top w:val="single" w:sz="4" w:space="0" w:color="auto"/>
              <w:left w:val="single" w:sz="4" w:space="0" w:color="auto"/>
              <w:bottom w:val="single" w:sz="4" w:space="0" w:color="auto"/>
              <w:right w:val="single" w:sz="4" w:space="0" w:color="auto"/>
            </w:tcBorders>
          </w:tcPr>
          <w:p w:rsidR="00BD5C2B" w:rsidRPr="009E25A0" w:rsidRDefault="00BD5C2B" w:rsidP="008F7B15">
            <w:pPr>
              <w:pStyle w:val="a3"/>
              <w:autoSpaceDE w:val="0"/>
              <w:autoSpaceDN w:val="0"/>
              <w:adjustRightInd w:val="0"/>
              <w:ind w:left="34"/>
              <w:rPr>
                <w:lang w:eastAsia="en-US"/>
              </w:rPr>
            </w:pPr>
            <w:r w:rsidRPr="009E25A0">
              <w:t>3 рабочих дня</w:t>
            </w:r>
          </w:p>
        </w:tc>
        <w:tc>
          <w:tcPr>
            <w:tcW w:w="833" w:type="pct"/>
            <w:vMerge/>
            <w:tcBorders>
              <w:left w:val="single" w:sz="4" w:space="0" w:color="auto"/>
              <w:right w:val="single" w:sz="4" w:space="0" w:color="auto"/>
            </w:tcBorders>
          </w:tcPr>
          <w:p w:rsidR="00BD5C2B" w:rsidRPr="009E25A0" w:rsidRDefault="00BD5C2B" w:rsidP="000C4E83">
            <w:pPr>
              <w:rPr>
                <w:lang w:eastAsia="en-US"/>
              </w:rPr>
            </w:pPr>
          </w:p>
        </w:tc>
      </w:tr>
      <w:tr w:rsidR="00BD5C2B" w:rsidRPr="009E25A0" w:rsidTr="009E25A0">
        <w:trPr>
          <w:trHeight w:val="86"/>
        </w:trPr>
        <w:tc>
          <w:tcPr>
            <w:tcW w:w="196" w:type="pct"/>
            <w:tcBorders>
              <w:top w:val="single" w:sz="4" w:space="0" w:color="auto"/>
              <w:left w:val="single" w:sz="4" w:space="0" w:color="auto"/>
              <w:bottom w:val="single" w:sz="4" w:space="0" w:color="auto"/>
              <w:right w:val="single" w:sz="4" w:space="0" w:color="auto"/>
            </w:tcBorders>
          </w:tcPr>
          <w:p w:rsidR="00BD5C2B" w:rsidRPr="009E25A0" w:rsidRDefault="00BD5C2B" w:rsidP="000C4E83">
            <w:pPr>
              <w:rPr>
                <w:b/>
                <w:bCs/>
                <w:lang w:eastAsia="en-US"/>
              </w:rPr>
            </w:pPr>
            <w:r w:rsidRPr="009E25A0">
              <w:rPr>
                <w:b/>
                <w:bCs/>
                <w:lang w:eastAsia="en-US"/>
              </w:rPr>
              <w:t>3</w:t>
            </w:r>
          </w:p>
        </w:tc>
        <w:tc>
          <w:tcPr>
            <w:tcW w:w="1178" w:type="pct"/>
            <w:tcBorders>
              <w:top w:val="single" w:sz="4" w:space="0" w:color="auto"/>
              <w:left w:val="single" w:sz="4" w:space="0" w:color="auto"/>
              <w:bottom w:val="single" w:sz="4" w:space="0" w:color="auto"/>
              <w:right w:val="single" w:sz="4" w:space="0" w:color="auto"/>
            </w:tcBorders>
          </w:tcPr>
          <w:p w:rsidR="00BD5C2B" w:rsidRPr="009E25A0" w:rsidRDefault="00BD5C2B" w:rsidP="000C4E83">
            <w:pPr>
              <w:autoSpaceDE w:val="0"/>
              <w:autoSpaceDN w:val="0"/>
            </w:pPr>
            <w:r w:rsidRPr="009E25A0">
              <w:t>Направление недостающих документов заявителем</w:t>
            </w:r>
          </w:p>
        </w:tc>
        <w:tc>
          <w:tcPr>
            <w:tcW w:w="1421" w:type="pct"/>
            <w:tcBorders>
              <w:top w:val="single" w:sz="4" w:space="0" w:color="auto"/>
              <w:left w:val="single" w:sz="4" w:space="0" w:color="auto"/>
              <w:bottom w:val="single" w:sz="4" w:space="0" w:color="auto"/>
              <w:right w:val="single" w:sz="4" w:space="0" w:color="auto"/>
            </w:tcBorders>
          </w:tcPr>
          <w:p w:rsidR="00BD5C2B" w:rsidRPr="009E25A0" w:rsidRDefault="00BD5C2B" w:rsidP="000C4E83">
            <w:pPr>
              <w:autoSpaceDE w:val="0"/>
              <w:autoSpaceDN w:val="0"/>
              <w:adjustRightInd w:val="0"/>
              <w:rPr>
                <w:lang w:eastAsia="en-US"/>
              </w:rPr>
            </w:pPr>
            <w:r w:rsidRPr="009E25A0">
              <w:t>Документы, указанные в запросе</w:t>
            </w:r>
          </w:p>
        </w:tc>
        <w:tc>
          <w:tcPr>
            <w:tcW w:w="1372" w:type="pct"/>
            <w:tcBorders>
              <w:top w:val="single" w:sz="4" w:space="0" w:color="auto"/>
              <w:left w:val="single" w:sz="4" w:space="0" w:color="auto"/>
              <w:bottom w:val="single" w:sz="4" w:space="0" w:color="auto"/>
              <w:right w:val="single" w:sz="4" w:space="0" w:color="auto"/>
            </w:tcBorders>
          </w:tcPr>
          <w:p w:rsidR="00BD5C2B" w:rsidRPr="009E25A0" w:rsidRDefault="00BD5C2B" w:rsidP="008F7B15">
            <w:pPr>
              <w:pStyle w:val="a3"/>
              <w:autoSpaceDE w:val="0"/>
              <w:autoSpaceDN w:val="0"/>
              <w:adjustRightInd w:val="0"/>
              <w:ind w:left="34"/>
              <w:rPr>
                <w:lang w:eastAsia="en-US"/>
              </w:rPr>
            </w:pPr>
            <w:r w:rsidRPr="009E25A0">
              <w:t>20 рабочих дней с даты запроса</w:t>
            </w:r>
          </w:p>
        </w:tc>
        <w:tc>
          <w:tcPr>
            <w:tcW w:w="833" w:type="pct"/>
            <w:vMerge/>
            <w:tcBorders>
              <w:left w:val="single" w:sz="4" w:space="0" w:color="auto"/>
              <w:right w:val="single" w:sz="4" w:space="0" w:color="auto"/>
            </w:tcBorders>
          </w:tcPr>
          <w:p w:rsidR="00BD5C2B" w:rsidRPr="009E25A0" w:rsidRDefault="00BD5C2B" w:rsidP="000C4E83">
            <w:pPr>
              <w:rPr>
                <w:lang w:eastAsia="en-US"/>
              </w:rPr>
            </w:pPr>
          </w:p>
        </w:tc>
      </w:tr>
      <w:tr w:rsidR="00BD5C2B" w:rsidRPr="009E25A0" w:rsidTr="009E25A0">
        <w:trPr>
          <w:trHeight w:val="86"/>
        </w:trPr>
        <w:tc>
          <w:tcPr>
            <w:tcW w:w="196" w:type="pct"/>
            <w:tcBorders>
              <w:top w:val="single" w:sz="4" w:space="0" w:color="auto"/>
              <w:left w:val="single" w:sz="4" w:space="0" w:color="auto"/>
              <w:bottom w:val="single" w:sz="4" w:space="0" w:color="auto"/>
              <w:right w:val="single" w:sz="4" w:space="0" w:color="auto"/>
            </w:tcBorders>
          </w:tcPr>
          <w:p w:rsidR="00BD5C2B" w:rsidRPr="009E25A0" w:rsidRDefault="00BD5C2B" w:rsidP="000C4E83">
            <w:pPr>
              <w:rPr>
                <w:b/>
                <w:bCs/>
                <w:lang w:eastAsia="en-US"/>
              </w:rPr>
            </w:pPr>
            <w:r w:rsidRPr="009E25A0">
              <w:rPr>
                <w:b/>
                <w:bCs/>
                <w:lang w:eastAsia="en-US"/>
              </w:rPr>
              <w:t>4</w:t>
            </w:r>
          </w:p>
        </w:tc>
        <w:tc>
          <w:tcPr>
            <w:tcW w:w="1178" w:type="pct"/>
            <w:tcBorders>
              <w:top w:val="single" w:sz="4" w:space="0" w:color="auto"/>
              <w:left w:val="single" w:sz="4" w:space="0" w:color="auto"/>
              <w:bottom w:val="single" w:sz="4" w:space="0" w:color="auto"/>
              <w:right w:val="single" w:sz="4" w:space="0" w:color="auto"/>
            </w:tcBorders>
          </w:tcPr>
          <w:p w:rsidR="00BD5C2B" w:rsidRPr="009E25A0" w:rsidRDefault="00BD5C2B" w:rsidP="009E25A0">
            <w:pPr>
              <w:autoSpaceDE w:val="0"/>
              <w:autoSpaceDN w:val="0"/>
            </w:pPr>
            <w:r w:rsidRPr="009E25A0">
              <w:t>Подготовка технических условий и проекта договора</w:t>
            </w:r>
          </w:p>
        </w:tc>
        <w:tc>
          <w:tcPr>
            <w:tcW w:w="1421" w:type="pct"/>
            <w:tcBorders>
              <w:top w:val="single" w:sz="4" w:space="0" w:color="auto"/>
              <w:left w:val="single" w:sz="4" w:space="0" w:color="auto"/>
              <w:bottom w:val="single" w:sz="4" w:space="0" w:color="auto"/>
              <w:right w:val="single" w:sz="4" w:space="0" w:color="auto"/>
            </w:tcBorders>
          </w:tcPr>
          <w:p w:rsidR="00BD5C2B" w:rsidRPr="009E25A0" w:rsidRDefault="00BD5C2B" w:rsidP="000C4E83">
            <w:pPr>
              <w:autoSpaceDE w:val="0"/>
              <w:autoSpaceDN w:val="0"/>
              <w:adjustRightInd w:val="0"/>
              <w:rPr>
                <w:lang w:eastAsia="en-US"/>
              </w:rPr>
            </w:pPr>
            <w:r w:rsidRPr="009E25A0">
              <w:t xml:space="preserve">Проект технических условий </w:t>
            </w:r>
            <w:r w:rsidR="009E25A0">
              <w:br/>
            </w:r>
            <w:r w:rsidRPr="009E25A0">
              <w:t>и проект договора</w:t>
            </w:r>
          </w:p>
        </w:tc>
        <w:tc>
          <w:tcPr>
            <w:tcW w:w="1372" w:type="pct"/>
            <w:tcBorders>
              <w:top w:val="single" w:sz="4" w:space="0" w:color="auto"/>
              <w:left w:val="single" w:sz="4" w:space="0" w:color="auto"/>
              <w:bottom w:val="single" w:sz="4" w:space="0" w:color="auto"/>
              <w:right w:val="single" w:sz="4" w:space="0" w:color="auto"/>
            </w:tcBorders>
          </w:tcPr>
          <w:p w:rsidR="00BD5C2B" w:rsidRPr="009E25A0" w:rsidRDefault="00BD5C2B" w:rsidP="008F7B15">
            <w:pPr>
              <w:autoSpaceDE w:val="0"/>
              <w:autoSpaceDN w:val="0"/>
              <w:ind w:left="34"/>
            </w:pPr>
            <w:r w:rsidRPr="009E25A0">
              <w:t xml:space="preserve">20 рабочих дней с даты регистрации заявки в сетевой организации </w:t>
            </w:r>
          </w:p>
          <w:p w:rsidR="00BD5C2B" w:rsidRPr="009E25A0" w:rsidRDefault="00BD5C2B" w:rsidP="008F7B15">
            <w:pPr>
              <w:autoSpaceDE w:val="0"/>
              <w:autoSpaceDN w:val="0"/>
              <w:ind w:left="34"/>
              <w:rPr>
                <w:lang w:eastAsia="en-US"/>
              </w:rPr>
            </w:pPr>
            <w:r w:rsidRPr="009E25A0">
              <w:lastRenderedPageBreak/>
              <w:t>В случае если технические условия подлежали согласованию</w:t>
            </w:r>
            <w:r w:rsidR="009E25A0">
              <w:br/>
            </w:r>
            <w:r w:rsidRPr="009E25A0">
              <w:t xml:space="preserve"> с Московским РДУ не позднее 3 рабочих дней с даты согласования технических условий со стороны системного оператора </w:t>
            </w:r>
          </w:p>
        </w:tc>
        <w:tc>
          <w:tcPr>
            <w:tcW w:w="833" w:type="pct"/>
            <w:vMerge/>
            <w:tcBorders>
              <w:left w:val="single" w:sz="4" w:space="0" w:color="auto"/>
              <w:right w:val="single" w:sz="4" w:space="0" w:color="auto"/>
            </w:tcBorders>
          </w:tcPr>
          <w:p w:rsidR="00BD5C2B" w:rsidRPr="009E25A0" w:rsidRDefault="00BD5C2B" w:rsidP="000C4E83">
            <w:pPr>
              <w:rPr>
                <w:lang w:eastAsia="en-US"/>
              </w:rPr>
            </w:pPr>
          </w:p>
        </w:tc>
      </w:tr>
      <w:tr w:rsidR="00BD5C2B" w:rsidRPr="009E25A0" w:rsidTr="009E25A0">
        <w:trPr>
          <w:trHeight w:val="86"/>
        </w:trPr>
        <w:tc>
          <w:tcPr>
            <w:tcW w:w="196" w:type="pct"/>
            <w:tcBorders>
              <w:top w:val="single" w:sz="4" w:space="0" w:color="auto"/>
              <w:left w:val="single" w:sz="4" w:space="0" w:color="auto"/>
              <w:bottom w:val="single" w:sz="4" w:space="0" w:color="auto"/>
              <w:right w:val="single" w:sz="4" w:space="0" w:color="auto"/>
            </w:tcBorders>
          </w:tcPr>
          <w:p w:rsidR="00BD5C2B" w:rsidRPr="009E25A0" w:rsidRDefault="00BD5C2B" w:rsidP="000C4E83">
            <w:pPr>
              <w:rPr>
                <w:b/>
                <w:bCs/>
                <w:lang w:eastAsia="en-US"/>
              </w:rPr>
            </w:pPr>
            <w:r w:rsidRPr="009E25A0">
              <w:rPr>
                <w:b/>
                <w:bCs/>
                <w:lang w:eastAsia="en-US"/>
              </w:rPr>
              <w:t>5</w:t>
            </w:r>
          </w:p>
        </w:tc>
        <w:tc>
          <w:tcPr>
            <w:tcW w:w="1178" w:type="pct"/>
            <w:tcBorders>
              <w:top w:val="single" w:sz="4" w:space="0" w:color="auto"/>
              <w:left w:val="single" w:sz="4" w:space="0" w:color="auto"/>
              <w:bottom w:val="single" w:sz="4" w:space="0" w:color="auto"/>
              <w:right w:val="single" w:sz="4" w:space="0" w:color="auto"/>
            </w:tcBorders>
          </w:tcPr>
          <w:p w:rsidR="00BD5C2B" w:rsidRPr="009E25A0" w:rsidRDefault="00BD5C2B" w:rsidP="000C4E83">
            <w:pPr>
              <w:autoSpaceDE w:val="0"/>
              <w:autoSpaceDN w:val="0"/>
            </w:pPr>
            <w:r w:rsidRPr="009E25A0">
              <w:t xml:space="preserve">В предусмотренных законом случаях направление технических условий </w:t>
            </w:r>
            <w:r w:rsidR="009E25A0">
              <w:br/>
            </w:r>
            <w:r w:rsidRPr="009E25A0">
              <w:t>на согласование в Московское РДУ</w:t>
            </w:r>
          </w:p>
        </w:tc>
        <w:tc>
          <w:tcPr>
            <w:tcW w:w="1421" w:type="pct"/>
            <w:tcBorders>
              <w:top w:val="single" w:sz="4" w:space="0" w:color="auto"/>
              <w:left w:val="single" w:sz="4" w:space="0" w:color="auto"/>
              <w:bottom w:val="single" w:sz="4" w:space="0" w:color="auto"/>
              <w:right w:val="single" w:sz="4" w:space="0" w:color="auto"/>
            </w:tcBorders>
          </w:tcPr>
          <w:p w:rsidR="00BD5C2B" w:rsidRPr="009E25A0" w:rsidRDefault="00BD5C2B" w:rsidP="000C4E83">
            <w:pPr>
              <w:autoSpaceDE w:val="0"/>
              <w:autoSpaceDN w:val="0"/>
            </w:pPr>
            <w:r w:rsidRPr="009E25A0">
              <w:t>Письмо с приложением технических условий</w:t>
            </w:r>
          </w:p>
        </w:tc>
        <w:tc>
          <w:tcPr>
            <w:tcW w:w="1372" w:type="pct"/>
            <w:tcBorders>
              <w:top w:val="single" w:sz="4" w:space="0" w:color="auto"/>
              <w:left w:val="single" w:sz="4" w:space="0" w:color="auto"/>
              <w:bottom w:val="single" w:sz="4" w:space="0" w:color="auto"/>
              <w:right w:val="single" w:sz="4" w:space="0" w:color="auto"/>
            </w:tcBorders>
          </w:tcPr>
          <w:p w:rsidR="00BD5C2B" w:rsidRPr="009E25A0" w:rsidRDefault="00BD5C2B" w:rsidP="008F7B15">
            <w:pPr>
              <w:autoSpaceDE w:val="0"/>
              <w:autoSpaceDN w:val="0"/>
            </w:pPr>
            <w:r w:rsidRPr="009E25A0">
              <w:t xml:space="preserve">5 рабочих дней с даты поступления от заявителя уведомления </w:t>
            </w:r>
            <w:r w:rsidR="009E25A0">
              <w:br/>
            </w:r>
            <w:r w:rsidRPr="009E25A0">
              <w:t>о перераспределении</w:t>
            </w:r>
          </w:p>
        </w:tc>
        <w:tc>
          <w:tcPr>
            <w:tcW w:w="833" w:type="pct"/>
            <w:vMerge/>
            <w:tcBorders>
              <w:left w:val="single" w:sz="4" w:space="0" w:color="auto"/>
              <w:right w:val="single" w:sz="4" w:space="0" w:color="auto"/>
            </w:tcBorders>
          </w:tcPr>
          <w:p w:rsidR="00BD5C2B" w:rsidRPr="009E25A0" w:rsidRDefault="00BD5C2B" w:rsidP="000C4E83">
            <w:pPr>
              <w:rPr>
                <w:lang w:eastAsia="en-US"/>
              </w:rPr>
            </w:pPr>
          </w:p>
        </w:tc>
      </w:tr>
      <w:tr w:rsidR="00BD5C2B" w:rsidRPr="009E25A0" w:rsidTr="009E25A0">
        <w:trPr>
          <w:trHeight w:val="86"/>
        </w:trPr>
        <w:tc>
          <w:tcPr>
            <w:tcW w:w="196" w:type="pct"/>
            <w:tcBorders>
              <w:top w:val="single" w:sz="4" w:space="0" w:color="auto"/>
              <w:left w:val="single" w:sz="4" w:space="0" w:color="auto"/>
              <w:bottom w:val="single" w:sz="4" w:space="0" w:color="auto"/>
              <w:right w:val="single" w:sz="4" w:space="0" w:color="auto"/>
            </w:tcBorders>
          </w:tcPr>
          <w:p w:rsidR="00BD5C2B" w:rsidRPr="009E25A0" w:rsidRDefault="00BD5C2B" w:rsidP="000C4E83">
            <w:pPr>
              <w:rPr>
                <w:b/>
                <w:bCs/>
                <w:lang w:eastAsia="en-US"/>
              </w:rPr>
            </w:pPr>
            <w:r w:rsidRPr="009E25A0">
              <w:rPr>
                <w:b/>
                <w:bCs/>
                <w:lang w:eastAsia="en-US"/>
              </w:rPr>
              <w:t>6</w:t>
            </w:r>
          </w:p>
        </w:tc>
        <w:tc>
          <w:tcPr>
            <w:tcW w:w="1178" w:type="pct"/>
            <w:tcBorders>
              <w:top w:val="single" w:sz="4" w:space="0" w:color="auto"/>
              <w:left w:val="single" w:sz="4" w:space="0" w:color="auto"/>
              <w:bottom w:val="single" w:sz="4" w:space="0" w:color="auto"/>
              <w:right w:val="single" w:sz="4" w:space="0" w:color="auto"/>
            </w:tcBorders>
          </w:tcPr>
          <w:p w:rsidR="00BD5C2B" w:rsidRPr="009E25A0" w:rsidRDefault="00BD5C2B" w:rsidP="000C4E83">
            <w:pPr>
              <w:autoSpaceDE w:val="0"/>
              <w:autoSpaceDN w:val="0"/>
            </w:pPr>
            <w:r w:rsidRPr="009E25A0">
              <w:t>Согласование технических условий со стороны Московского РДУ</w:t>
            </w:r>
          </w:p>
        </w:tc>
        <w:tc>
          <w:tcPr>
            <w:tcW w:w="1421" w:type="pct"/>
            <w:tcBorders>
              <w:top w:val="single" w:sz="4" w:space="0" w:color="auto"/>
              <w:left w:val="single" w:sz="4" w:space="0" w:color="auto"/>
              <w:bottom w:val="single" w:sz="4" w:space="0" w:color="auto"/>
              <w:right w:val="single" w:sz="4" w:space="0" w:color="auto"/>
            </w:tcBorders>
          </w:tcPr>
          <w:p w:rsidR="00BD5C2B" w:rsidRPr="009E25A0" w:rsidRDefault="00BD5C2B" w:rsidP="000C4E83">
            <w:pPr>
              <w:autoSpaceDE w:val="0"/>
              <w:autoSpaceDN w:val="0"/>
            </w:pPr>
            <w:r w:rsidRPr="009E25A0">
              <w:t>Письмо с приложением согласованных технических условий</w:t>
            </w:r>
          </w:p>
        </w:tc>
        <w:tc>
          <w:tcPr>
            <w:tcW w:w="1372" w:type="pct"/>
            <w:tcBorders>
              <w:top w:val="single" w:sz="4" w:space="0" w:color="auto"/>
              <w:left w:val="single" w:sz="4" w:space="0" w:color="auto"/>
              <w:bottom w:val="single" w:sz="4" w:space="0" w:color="auto"/>
              <w:right w:val="single" w:sz="4" w:space="0" w:color="auto"/>
            </w:tcBorders>
          </w:tcPr>
          <w:p w:rsidR="00BD5C2B" w:rsidRPr="009E25A0" w:rsidRDefault="005130DF" w:rsidP="000C4E83">
            <w:pPr>
              <w:autoSpaceDE w:val="0"/>
              <w:autoSpaceDN w:val="0"/>
            </w:pPr>
            <w:r w:rsidRPr="009E25A0">
              <w:t>10 рабочих</w:t>
            </w:r>
            <w:r w:rsidR="00BD5C2B" w:rsidRPr="009E25A0">
              <w:t xml:space="preserve"> дней с даты получения проекта технических условий </w:t>
            </w:r>
            <w:r w:rsidR="00777FE5">
              <w:br/>
            </w:r>
            <w:r w:rsidR="00BD5C2B" w:rsidRPr="009E25A0">
              <w:t>от сетевой организации</w:t>
            </w:r>
          </w:p>
        </w:tc>
        <w:tc>
          <w:tcPr>
            <w:tcW w:w="833" w:type="pct"/>
            <w:vMerge/>
            <w:tcBorders>
              <w:left w:val="single" w:sz="4" w:space="0" w:color="auto"/>
              <w:right w:val="single" w:sz="4" w:space="0" w:color="auto"/>
            </w:tcBorders>
          </w:tcPr>
          <w:p w:rsidR="00BD5C2B" w:rsidRPr="009E25A0" w:rsidRDefault="00BD5C2B" w:rsidP="000C4E83">
            <w:pPr>
              <w:rPr>
                <w:lang w:eastAsia="en-US"/>
              </w:rPr>
            </w:pPr>
          </w:p>
        </w:tc>
      </w:tr>
      <w:tr w:rsidR="00BD5C2B" w:rsidRPr="009E25A0" w:rsidTr="009E25A0">
        <w:trPr>
          <w:trHeight w:val="86"/>
        </w:trPr>
        <w:tc>
          <w:tcPr>
            <w:tcW w:w="196" w:type="pct"/>
            <w:tcBorders>
              <w:top w:val="single" w:sz="4" w:space="0" w:color="auto"/>
              <w:left w:val="single" w:sz="4" w:space="0" w:color="auto"/>
              <w:bottom w:val="single" w:sz="4" w:space="0" w:color="auto"/>
              <w:right w:val="single" w:sz="4" w:space="0" w:color="auto"/>
            </w:tcBorders>
          </w:tcPr>
          <w:p w:rsidR="00BD5C2B" w:rsidRPr="009E25A0" w:rsidRDefault="00BD5C2B" w:rsidP="000C4E83">
            <w:pPr>
              <w:rPr>
                <w:b/>
                <w:bCs/>
                <w:lang w:eastAsia="en-US"/>
              </w:rPr>
            </w:pPr>
            <w:r w:rsidRPr="009E25A0">
              <w:rPr>
                <w:b/>
                <w:bCs/>
                <w:lang w:eastAsia="en-US"/>
              </w:rPr>
              <w:t>7</w:t>
            </w:r>
          </w:p>
        </w:tc>
        <w:tc>
          <w:tcPr>
            <w:tcW w:w="1178" w:type="pct"/>
            <w:tcBorders>
              <w:top w:val="single" w:sz="4" w:space="0" w:color="auto"/>
              <w:left w:val="single" w:sz="4" w:space="0" w:color="auto"/>
              <w:bottom w:val="single" w:sz="4" w:space="0" w:color="auto"/>
              <w:right w:val="single" w:sz="4" w:space="0" w:color="auto"/>
            </w:tcBorders>
          </w:tcPr>
          <w:p w:rsidR="00BD5C2B" w:rsidRPr="009E25A0" w:rsidRDefault="00BD5C2B" w:rsidP="000C4E83">
            <w:pPr>
              <w:autoSpaceDE w:val="0"/>
              <w:autoSpaceDN w:val="0"/>
            </w:pPr>
            <w:r w:rsidRPr="009E25A0">
              <w:t>Рассмотрение заявителем проекта договора</w:t>
            </w:r>
          </w:p>
        </w:tc>
        <w:tc>
          <w:tcPr>
            <w:tcW w:w="1421" w:type="pct"/>
            <w:tcBorders>
              <w:top w:val="single" w:sz="4" w:space="0" w:color="auto"/>
              <w:left w:val="single" w:sz="4" w:space="0" w:color="auto"/>
              <w:bottom w:val="single" w:sz="4" w:space="0" w:color="auto"/>
              <w:right w:val="single" w:sz="4" w:space="0" w:color="auto"/>
            </w:tcBorders>
          </w:tcPr>
          <w:p w:rsidR="00BD5C2B" w:rsidRPr="009E25A0" w:rsidRDefault="00BD5C2B" w:rsidP="009E25A0">
            <w:pPr>
              <w:autoSpaceDE w:val="0"/>
              <w:autoSpaceDN w:val="0"/>
            </w:pPr>
            <w:r w:rsidRPr="009E25A0">
              <w:t>Подписанный заявителем договор (при наличии разногласий с протоколом разногласий)</w:t>
            </w:r>
            <w:r w:rsidR="009E25A0" w:rsidRPr="009E25A0">
              <w:t xml:space="preserve"> </w:t>
            </w:r>
          </w:p>
        </w:tc>
        <w:tc>
          <w:tcPr>
            <w:tcW w:w="1372" w:type="pct"/>
            <w:tcBorders>
              <w:top w:val="single" w:sz="4" w:space="0" w:color="auto"/>
              <w:left w:val="single" w:sz="4" w:space="0" w:color="auto"/>
              <w:bottom w:val="single" w:sz="4" w:space="0" w:color="auto"/>
              <w:right w:val="single" w:sz="4" w:space="0" w:color="auto"/>
            </w:tcBorders>
          </w:tcPr>
          <w:p w:rsidR="00BD5C2B" w:rsidRPr="009E25A0" w:rsidRDefault="00BD5C2B" w:rsidP="009E25A0">
            <w:pPr>
              <w:autoSpaceDE w:val="0"/>
              <w:autoSpaceDN w:val="0"/>
            </w:pPr>
            <w:r w:rsidRPr="009E25A0">
              <w:t>10 рабочих дней с даты получения подписанного сетевой организацией договора</w:t>
            </w:r>
          </w:p>
        </w:tc>
        <w:tc>
          <w:tcPr>
            <w:tcW w:w="833" w:type="pct"/>
            <w:vMerge/>
            <w:tcBorders>
              <w:left w:val="single" w:sz="4" w:space="0" w:color="auto"/>
              <w:right w:val="single" w:sz="4" w:space="0" w:color="auto"/>
            </w:tcBorders>
          </w:tcPr>
          <w:p w:rsidR="00BD5C2B" w:rsidRPr="009E25A0" w:rsidRDefault="00BD5C2B" w:rsidP="000C4E83">
            <w:pPr>
              <w:autoSpaceDE w:val="0"/>
              <w:autoSpaceDN w:val="0"/>
            </w:pPr>
          </w:p>
        </w:tc>
      </w:tr>
      <w:tr w:rsidR="00BD5C2B" w:rsidRPr="009E25A0" w:rsidTr="009E25A0">
        <w:trPr>
          <w:trHeight w:val="86"/>
        </w:trPr>
        <w:tc>
          <w:tcPr>
            <w:tcW w:w="196" w:type="pct"/>
            <w:tcBorders>
              <w:top w:val="single" w:sz="4" w:space="0" w:color="auto"/>
              <w:left w:val="single" w:sz="4" w:space="0" w:color="auto"/>
              <w:bottom w:val="single" w:sz="4" w:space="0" w:color="auto"/>
              <w:right w:val="single" w:sz="4" w:space="0" w:color="auto"/>
            </w:tcBorders>
          </w:tcPr>
          <w:p w:rsidR="00BD5C2B" w:rsidRPr="009E25A0" w:rsidRDefault="00BD5C2B" w:rsidP="000C4E83">
            <w:pPr>
              <w:rPr>
                <w:b/>
                <w:bCs/>
                <w:lang w:eastAsia="en-US"/>
              </w:rPr>
            </w:pPr>
            <w:r w:rsidRPr="009E25A0">
              <w:rPr>
                <w:b/>
                <w:bCs/>
                <w:lang w:eastAsia="en-US"/>
              </w:rPr>
              <w:t>8</w:t>
            </w:r>
          </w:p>
        </w:tc>
        <w:tc>
          <w:tcPr>
            <w:tcW w:w="1178" w:type="pct"/>
            <w:tcBorders>
              <w:top w:val="single" w:sz="4" w:space="0" w:color="auto"/>
              <w:left w:val="single" w:sz="4" w:space="0" w:color="auto"/>
              <w:bottom w:val="single" w:sz="4" w:space="0" w:color="auto"/>
              <w:right w:val="single" w:sz="4" w:space="0" w:color="auto"/>
            </w:tcBorders>
          </w:tcPr>
          <w:p w:rsidR="00BD5C2B" w:rsidRPr="009E25A0" w:rsidRDefault="00BD5C2B" w:rsidP="009E25A0">
            <w:pPr>
              <w:autoSpaceDE w:val="0"/>
              <w:autoSpaceDN w:val="0"/>
            </w:pPr>
            <w:r w:rsidRPr="009E25A0">
              <w:t>Направление лицу, максимальная мощность энергопринимающих устройств которого перераспределяется, информации об изменениях, внесенных в ранее выданные ему технические условия</w:t>
            </w:r>
          </w:p>
        </w:tc>
        <w:tc>
          <w:tcPr>
            <w:tcW w:w="1421" w:type="pct"/>
            <w:tcBorders>
              <w:top w:val="single" w:sz="4" w:space="0" w:color="auto"/>
              <w:left w:val="single" w:sz="4" w:space="0" w:color="auto"/>
              <w:bottom w:val="single" w:sz="4" w:space="0" w:color="auto"/>
              <w:right w:val="single" w:sz="4" w:space="0" w:color="auto"/>
            </w:tcBorders>
          </w:tcPr>
          <w:p w:rsidR="00BD5C2B" w:rsidRPr="009E25A0" w:rsidRDefault="00BD5C2B" w:rsidP="000C4E83">
            <w:pPr>
              <w:autoSpaceDE w:val="0"/>
              <w:autoSpaceDN w:val="0"/>
            </w:pPr>
            <w:r w:rsidRPr="009E25A0">
              <w:t xml:space="preserve">Принятие условий </w:t>
            </w:r>
          </w:p>
        </w:tc>
        <w:tc>
          <w:tcPr>
            <w:tcW w:w="1372" w:type="pct"/>
            <w:tcBorders>
              <w:top w:val="single" w:sz="4" w:space="0" w:color="auto"/>
              <w:left w:val="single" w:sz="4" w:space="0" w:color="auto"/>
              <w:bottom w:val="single" w:sz="4" w:space="0" w:color="auto"/>
              <w:right w:val="single" w:sz="4" w:space="0" w:color="auto"/>
            </w:tcBorders>
          </w:tcPr>
          <w:p w:rsidR="00BD5C2B" w:rsidRPr="009E25A0" w:rsidRDefault="00BD5C2B" w:rsidP="00D812F1">
            <w:pPr>
              <w:autoSpaceDE w:val="0"/>
              <w:autoSpaceDN w:val="0"/>
              <w:adjustRightInd w:val="0"/>
              <w:jc w:val="both"/>
              <w:rPr>
                <w:rFonts w:eastAsiaTheme="minorHAnsi"/>
                <w:lang w:eastAsia="en-US"/>
              </w:rPr>
            </w:pPr>
            <w:r w:rsidRPr="009E25A0">
              <w:t xml:space="preserve">10 рабочих </w:t>
            </w:r>
            <w:r w:rsidRPr="009E25A0">
              <w:rPr>
                <w:rFonts w:eastAsiaTheme="minorHAnsi"/>
                <w:lang w:eastAsia="en-US"/>
              </w:rPr>
              <w:t>со дня выдачи технических условий лицу, в пользу которого перераспределяется максимальная мощность по соглашению о перераспределении мощности</w:t>
            </w:r>
            <w:r w:rsidR="009E25A0">
              <w:rPr>
                <w:rFonts w:eastAsiaTheme="minorHAnsi"/>
                <w:lang w:eastAsia="en-US"/>
              </w:rPr>
              <w:t>.</w:t>
            </w:r>
          </w:p>
          <w:p w:rsidR="009E25A0" w:rsidRDefault="00BD5C2B" w:rsidP="009E25A0">
            <w:pPr>
              <w:autoSpaceDE w:val="0"/>
              <w:autoSpaceDN w:val="0"/>
              <w:adjustRightInd w:val="0"/>
              <w:rPr>
                <w:rFonts w:eastAsiaTheme="minorHAnsi"/>
                <w:lang w:eastAsia="en-US"/>
              </w:rPr>
            </w:pPr>
            <w:r w:rsidRPr="009E25A0">
              <w:rPr>
                <w:rFonts w:eastAsiaTheme="minorHAnsi"/>
                <w:lang w:eastAsia="en-US"/>
              </w:rPr>
              <w:t xml:space="preserve">В случае если в соответствии </w:t>
            </w:r>
          </w:p>
          <w:p w:rsidR="00BD5C2B" w:rsidRPr="009E25A0" w:rsidRDefault="00BD5C2B" w:rsidP="009E25A0">
            <w:pPr>
              <w:autoSpaceDE w:val="0"/>
              <w:autoSpaceDN w:val="0"/>
              <w:adjustRightInd w:val="0"/>
            </w:pPr>
            <w:r w:rsidRPr="009E25A0">
              <w:rPr>
                <w:rFonts w:eastAsiaTheme="minorHAnsi"/>
                <w:lang w:eastAsia="en-US"/>
              </w:rPr>
              <w:t xml:space="preserve">с настоящими Правилами технические условия подлежат согласованию с субъектом оперативно-диспетчерского управления, указанный срок продлевается на срок согласования изменений, внесенных </w:t>
            </w:r>
            <w:r w:rsidR="009E25A0">
              <w:rPr>
                <w:rFonts w:eastAsiaTheme="minorHAnsi"/>
                <w:lang w:eastAsia="en-US"/>
              </w:rPr>
              <w:br/>
            </w:r>
            <w:r w:rsidRPr="009E25A0">
              <w:rPr>
                <w:rFonts w:eastAsiaTheme="minorHAnsi"/>
                <w:lang w:eastAsia="en-US"/>
              </w:rPr>
              <w:t>в технические условия, с таким субъектом.</w:t>
            </w:r>
          </w:p>
        </w:tc>
        <w:tc>
          <w:tcPr>
            <w:tcW w:w="833" w:type="pct"/>
            <w:vMerge/>
            <w:tcBorders>
              <w:left w:val="single" w:sz="4" w:space="0" w:color="auto"/>
              <w:right w:val="single" w:sz="4" w:space="0" w:color="auto"/>
            </w:tcBorders>
          </w:tcPr>
          <w:p w:rsidR="00BD5C2B" w:rsidRPr="009E25A0" w:rsidRDefault="00BD5C2B" w:rsidP="000C4E83">
            <w:pPr>
              <w:autoSpaceDE w:val="0"/>
              <w:autoSpaceDN w:val="0"/>
            </w:pPr>
          </w:p>
        </w:tc>
      </w:tr>
      <w:tr w:rsidR="00BD5C2B" w:rsidRPr="009E25A0" w:rsidTr="009E25A0">
        <w:trPr>
          <w:trHeight w:val="86"/>
        </w:trPr>
        <w:tc>
          <w:tcPr>
            <w:tcW w:w="196" w:type="pct"/>
            <w:tcBorders>
              <w:top w:val="single" w:sz="4" w:space="0" w:color="auto"/>
              <w:left w:val="single" w:sz="4" w:space="0" w:color="auto"/>
              <w:bottom w:val="single" w:sz="4" w:space="0" w:color="auto"/>
              <w:right w:val="single" w:sz="4" w:space="0" w:color="auto"/>
            </w:tcBorders>
          </w:tcPr>
          <w:p w:rsidR="00BD5C2B" w:rsidRPr="009E25A0" w:rsidRDefault="00BD5C2B" w:rsidP="000C4E83">
            <w:pPr>
              <w:rPr>
                <w:b/>
                <w:bCs/>
                <w:lang w:eastAsia="en-US"/>
              </w:rPr>
            </w:pPr>
            <w:r w:rsidRPr="009E25A0">
              <w:rPr>
                <w:b/>
                <w:bCs/>
                <w:lang w:eastAsia="en-US"/>
              </w:rPr>
              <w:t>9</w:t>
            </w:r>
          </w:p>
        </w:tc>
        <w:tc>
          <w:tcPr>
            <w:tcW w:w="1178" w:type="pct"/>
            <w:tcBorders>
              <w:top w:val="single" w:sz="4" w:space="0" w:color="auto"/>
              <w:left w:val="single" w:sz="4" w:space="0" w:color="auto"/>
              <w:bottom w:val="single" w:sz="4" w:space="0" w:color="auto"/>
              <w:right w:val="single" w:sz="4" w:space="0" w:color="auto"/>
            </w:tcBorders>
          </w:tcPr>
          <w:p w:rsidR="00BD5C2B" w:rsidRPr="009E25A0" w:rsidRDefault="00BD5C2B" w:rsidP="000C4E83">
            <w:pPr>
              <w:autoSpaceDE w:val="0"/>
              <w:autoSpaceDN w:val="0"/>
            </w:pPr>
            <w:r w:rsidRPr="009E25A0">
              <w:t xml:space="preserve">Выполнение сетевой организацией и заявителем мероприятий предусмотренных техническими условиями </w:t>
            </w:r>
            <w:r w:rsidR="00754B9F">
              <w:br/>
            </w:r>
            <w:r w:rsidRPr="009E25A0">
              <w:t>и договором</w:t>
            </w:r>
          </w:p>
        </w:tc>
        <w:tc>
          <w:tcPr>
            <w:tcW w:w="1421" w:type="pct"/>
            <w:tcBorders>
              <w:top w:val="single" w:sz="4" w:space="0" w:color="auto"/>
              <w:left w:val="single" w:sz="4" w:space="0" w:color="auto"/>
              <w:bottom w:val="single" w:sz="4" w:space="0" w:color="auto"/>
              <w:right w:val="single" w:sz="4" w:space="0" w:color="auto"/>
            </w:tcBorders>
          </w:tcPr>
          <w:p w:rsidR="00BD5C2B" w:rsidRPr="009E25A0" w:rsidRDefault="00BD5C2B" w:rsidP="000C4E83">
            <w:pPr>
              <w:autoSpaceDE w:val="0"/>
              <w:autoSpaceDN w:val="0"/>
            </w:pPr>
          </w:p>
        </w:tc>
        <w:tc>
          <w:tcPr>
            <w:tcW w:w="1372" w:type="pct"/>
            <w:tcBorders>
              <w:top w:val="single" w:sz="4" w:space="0" w:color="auto"/>
              <w:left w:val="single" w:sz="4" w:space="0" w:color="auto"/>
              <w:bottom w:val="single" w:sz="4" w:space="0" w:color="auto"/>
              <w:right w:val="single" w:sz="4" w:space="0" w:color="auto"/>
            </w:tcBorders>
          </w:tcPr>
          <w:p w:rsidR="00BD5C2B" w:rsidRPr="009E25A0" w:rsidRDefault="00BD5C2B" w:rsidP="000C4E83">
            <w:pPr>
              <w:autoSpaceDE w:val="0"/>
              <w:autoSpaceDN w:val="0"/>
            </w:pPr>
            <w:r w:rsidRPr="009E25A0">
              <w:t>В течение срока выполнения мероприятий по технологическому присоединению и срока действия технических условий</w:t>
            </w:r>
          </w:p>
        </w:tc>
        <w:tc>
          <w:tcPr>
            <w:tcW w:w="833" w:type="pct"/>
            <w:vMerge/>
            <w:tcBorders>
              <w:left w:val="single" w:sz="4" w:space="0" w:color="auto"/>
              <w:right w:val="single" w:sz="4" w:space="0" w:color="auto"/>
            </w:tcBorders>
          </w:tcPr>
          <w:p w:rsidR="00BD5C2B" w:rsidRPr="009E25A0" w:rsidRDefault="00BD5C2B" w:rsidP="000C4E83">
            <w:pPr>
              <w:autoSpaceDE w:val="0"/>
              <w:autoSpaceDN w:val="0"/>
            </w:pPr>
          </w:p>
        </w:tc>
      </w:tr>
      <w:tr w:rsidR="00BD5C2B" w:rsidRPr="009E25A0" w:rsidTr="009E25A0">
        <w:trPr>
          <w:trHeight w:val="86"/>
        </w:trPr>
        <w:tc>
          <w:tcPr>
            <w:tcW w:w="196" w:type="pct"/>
            <w:tcBorders>
              <w:top w:val="single" w:sz="4" w:space="0" w:color="auto"/>
              <w:left w:val="single" w:sz="4" w:space="0" w:color="auto"/>
              <w:bottom w:val="single" w:sz="4" w:space="0" w:color="auto"/>
              <w:right w:val="single" w:sz="4" w:space="0" w:color="auto"/>
            </w:tcBorders>
          </w:tcPr>
          <w:p w:rsidR="00BD5C2B" w:rsidRPr="009E25A0" w:rsidRDefault="00BD5C2B" w:rsidP="000C4E83">
            <w:pPr>
              <w:rPr>
                <w:b/>
                <w:bCs/>
                <w:lang w:eastAsia="en-US"/>
              </w:rPr>
            </w:pPr>
            <w:r w:rsidRPr="009E25A0">
              <w:rPr>
                <w:b/>
                <w:bCs/>
                <w:lang w:eastAsia="en-US"/>
              </w:rPr>
              <w:lastRenderedPageBreak/>
              <w:t>10</w:t>
            </w:r>
          </w:p>
        </w:tc>
        <w:tc>
          <w:tcPr>
            <w:tcW w:w="1178" w:type="pct"/>
            <w:tcBorders>
              <w:top w:val="single" w:sz="4" w:space="0" w:color="auto"/>
              <w:left w:val="single" w:sz="4" w:space="0" w:color="auto"/>
              <w:bottom w:val="single" w:sz="4" w:space="0" w:color="auto"/>
              <w:right w:val="single" w:sz="4" w:space="0" w:color="auto"/>
            </w:tcBorders>
          </w:tcPr>
          <w:p w:rsidR="00BD5C2B" w:rsidRPr="009E25A0" w:rsidRDefault="00BD5C2B" w:rsidP="000C4E83">
            <w:pPr>
              <w:autoSpaceDE w:val="0"/>
              <w:autoSpaceDN w:val="0"/>
            </w:pPr>
            <w:r w:rsidRPr="009E25A0">
              <w:t>Проверка выполнения технических условий и осмотр электроустановок</w:t>
            </w:r>
          </w:p>
        </w:tc>
        <w:tc>
          <w:tcPr>
            <w:tcW w:w="1421" w:type="pct"/>
            <w:tcBorders>
              <w:top w:val="single" w:sz="4" w:space="0" w:color="auto"/>
              <w:left w:val="single" w:sz="4" w:space="0" w:color="auto"/>
              <w:bottom w:val="single" w:sz="4" w:space="0" w:color="auto"/>
              <w:right w:val="single" w:sz="4" w:space="0" w:color="auto"/>
            </w:tcBorders>
          </w:tcPr>
          <w:p w:rsidR="00BD5C2B" w:rsidRPr="009E25A0" w:rsidRDefault="00BD5C2B" w:rsidP="000C4E83">
            <w:pPr>
              <w:autoSpaceDE w:val="0"/>
              <w:autoSpaceDN w:val="0"/>
            </w:pPr>
            <w:r w:rsidRPr="009E25A0">
              <w:t>Проведение осмотра, рассмотрение проектной документации</w:t>
            </w:r>
          </w:p>
        </w:tc>
        <w:tc>
          <w:tcPr>
            <w:tcW w:w="1372" w:type="pct"/>
            <w:tcBorders>
              <w:top w:val="single" w:sz="4" w:space="0" w:color="auto"/>
              <w:left w:val="single" w:sz="4" w:space="0" w:color="auto"/>
              <w:bottom w:val="single" w:sz="4" w:space="0" w:color="auto"/>
              <w:right w:val="single" w:sz="4" w:space="0" w:color="auto"/>
            </w:tcBorders>
          </w:tcPr>
          <w:p w:rsidR="00BD5C2B" w:rsidRPr="009E25A0" w:rsidRDefault="00BD5C2B" w:rsidP="000C4E83">
            <w:pPr>
              <w:autoSpaceDE w:val="0"/>
              <w:autoSpaceDN w:val="0"/>
            </w:pPr>
            <w:r w:rsidRPr="009E25A0">
              <w:t xml:space="preserve">10 дней с даты получения уведомления о выполнении технических условий </w:t>
            </w:r>
            <w:r w:rsidR="00754B9F">
              <w:br/>
            </w:r>
            <w:r w:rsidRPr="009E25A0">
              <w:t>и предоставления комплекта документов, предусмотренных Правилами</w:t>
            </w:r>
          </w:p>
          <w:p w:rsidR="00BD5C2B" w:rsidRPr="009E25A0" w:rsidRDefault="00BD5C2B" w:rsidP="002C6701">
            <w:pPr>
              <w:autoSpaceDE w:val="0"/>
              <w:autoSpaceDN w:val="0"/>
            </w:pPr>
            <w:r w:rsidRPr="009E25A0">
              <w:t xml:space="preserve">Не более </w:t>
            </w:r>
            <w:r w:rsidR="005130DF" w:rsidRPr="009E25A0">
              <w:t>20 рабочих</w:t>
            </w:r>
            <w:r w:rsidRPr="009E25A0">
              <w:t xml:space="preserve"> дней с даты получения уведомления о выполнении технических условий </w:t>
            </w:r>
            <w:r w:rsidR="002C6701">
              <w:br/>
            </w:r>
            <w:r w:rsidRPr="009E25A0">
              <w:t>и предоставления комплекта документов, предусмотренных Прав</w:t>
            </w:r>
            <w:r w:rsidR="00E87A78" w:rsidRPr="009E25A0">
              <w:t xml:space="preserve">илами в случае если технические </w:t>
            </w:r>
            <w:r w:rsidRPr="009E25A0">
              <w:t>условия подлежали согласованию с Московским РДУ</w:t>
            </w:r>
          </w:p>
        </w:tc>
        <w:tc>
          <w:tcPr>
            <w:tcW w:w="833" w:type="pct"/>
            <w:vMerge/>
            <w:tcBorders>
              <w:left w:val="single" w:sz="4" w:space="0" w:color="auto"/>
              <w:right w:val="single" w:sz="4" w:space="0" w:color="auto"/>
            </w:tcBorders>
          </w:tcPr>
          <w:p w:rsidR="00BD5C2B" w:rsidRPr="009E25A0" w:rsidRDefault="00BD5C2B" w:rsidP="000C4E83">
            <w:pPr>
              <w:autoSpaceDE w:val="0"/>
              <w:autoSpaceDN w:val="0"/>
            </w:pPr>
          </w:p>
        </w:tc>
      </w:tr>
      <w:tr w:rsidR="00BD5C2B" w:rsidRPr="009E25A0" w:rsidTr="009E25A0">
        <w:trPr>
          <w:trHeight w:val="86"/>
        </w:trPr>
        <w:tc>
          <w:tcPr>
            <w:tcW w:w="196" w:type="pct"/>
            <w:tcBorders>
              <w:top w:val="single" w:sz="4" w:space="0" w:color="auto"/>
              <w:left w:val="single" w:sz="4" w:space="0" w:color="auto"/>
              <w:bottom w:val="single" w:sz="4" w:space="0" w:color="auto"/>
              <w:right w:val="single" w:sz="4" w:space="0" w:color="auto"/>
            </w:tcBorders>
          </w:tcPr>
          <w:p w:rsidR="00BD5C2B" w:rsidRPr="009E25A0" w:rsidRDefault="00BD5C2B" w:rsidP="00D812F1">
            <w:pPr>
              <w:rPr>
                <w:b/>
                <w:bCs/>
                <w:lang w:eastAsia="en-US"/>
              </w:rPr>
            </w:pPr>
            <w:r w:rsidRPr="009E25A0">
              <w:rPr>
                <w:b/>
                <w:bCs/>
                <w:lang w:eastAsia="en-US"/>
              </w:rPr>
              <w:t>11</w:t>
            </w:r>
          </w:p>
        </w:tc>
        <w:tc>
          <w:tcPr>
            <w:tcW w:w="1178" w:type="pct"/>
            <w:tcBorders>
              <w:top w:val="single" w:sz="4" w:space="0" w:color="auto"/>
              <w:left w:val="single" w:sz="4" w:space="0" w:color="auto"/>
              <w:bottom w:val="single" w:sz="4" w:space="0" w:color="auto"/>
              <w:right w:val="single" w:sz="4" w:space="0" w:color="auto"/>
            </w:tcBorders>
          </w:tcPr>
          <w:p w:rsidR="00BD5C2B" w:rsidRPr="009E25A0" w:rsidRDefault="00BD5C2B" w:rsidP="000C4E83">
            <w:pPr>
              <w:autoSpaceDE w:val="0"/>
              <w:autoSpaceDN w:val="0"/>
            </w:pPr>
            <w:r w:rsidRPr="009E25A0">
              <w:t xml:space="preserve">Направление акта </w:t>
            </w:r>
            <w:r w:rsidR="002C6701">
              <w:br/>
            </w:r>
            <w:r w:rsidRPr="009E25A0">
              <w:t>о выполнении технических условий</w:t>
            </w:r>
          </w:p>
        </w:tc>
        <w:tc>
          <w:tcPr>
            <w:tcW w:w="1421" w:type="pct"/>
            <w:tcBorders>
              <w:top w:val="single" w:sz="4" w:space="0" w:color="auto"/>
              <w:left w:val="single" w:sz="4" w:space="0" w:color="auto"/>
              <w:bottom w:val="single" w:sz="4" w:space="0" w:color="auto"/>
              <w:right w:val="single" w:sz="4" w:space="0" w:color="auto"/>
            </w:tcBorders>
          </w:tcPr>
          <w:p w:rsidR="00BD5C2B" w:rsidRPr="009E25A0" w:rsidRDefault="00BD5C2B" w:rsidP="000C4E83">
            <w:pPr>
              <w:autoSpaceDE w:val="0"/>
              <w:autoSpaceDN w:val="0"/>
            </w:pPr>
            <w:r w:rsidRPr="009E25A0">
              <w:t>Направление акта о выполнении технических условий, подписанного со стороны сетевой организации</w:t>
            </w:r>
          </w:p>
        </w:tc>
        <w:tc>
          <w:tcPr>
            <w:tcW w:w="1372" w:type="pct"/>
            <w:tcBorders>
              <w:top w:val="single" w:sz="4" w:space="0" w:color="auto"/>
              <w:left w:val="single" w:sz="4" w:space="0" w:color="auto"/>
              <w:bottom w:val="single" w:sz="4" w:space="0" w:color="auto"/>
              <w:right w:val="single" w:sz="4" w:space="0" w:color="auto"/>
            </w:tcBorders>
          </w:tcPr>
          <w:p w:rsidR="00BD5C2B" w:rsidRPr="009E25A0" w:rsidRDefault="00BD5C2B" w:rsidP="000C4E83">
            <w:pPr>
              <w:autoSpaceDE w:val="0"/>
              <w:autoSpaceDN w:val="0"/>
            </w:pPr>
            <w:r w:rsidRPr="009E25A0">
              <w:t xml:space="preserve">В течение 3х дней с даты проведения мероприятий </w:t>
            </w:r>
            <w:r w:rsidR="002C6701">
              <w:br/>
            </w:r>
            <w:r w:rsidRPr="009E25A0">
              <w:t>по проверке выполнения технических условий.</w:t>
            </w:r>
          </w:p>
        </w:tc>
        <w:tc>
          <w:tcPr>
            <w:tcW w:w="833" w:type="pct"/>
            <w:vMerge/>
            <w:tcBorders>
              <w:left w:val="single" w:sz="4" w:space="0" w:color="auto"/>
              <w:right w:val="single" w:sz="4" w:space="0" w:color="auto"/>
            </w:tcBorders>
          </w:tcPr>
          <w:p w:rsidR="00BD5C2B" w:rsidRPr="009E25A0" w:rsidRDefault="00BD5C2B" w:rsidP="000C4E83">
            <w:pPr>
              <w:autoSpaceDE w:val="0"/>
              <w:autoSpaceDN w:val="0"/>
            </w:pPr>
          </w:p>
        </w:tc>
      </w:tr>
      <w:tr w:rsidR="00BD5C2B" w:rsidRPr="009E25A0" w:rsidTr="009E25A0">
        <w:trPr>
          <w:trHeight w:val="86"/>
        </w:trPr>
        <w:tc>
          <w:tcPr>
            <w:tcW w:w="196" w:type="pct"/>
            <w:tcBorders>
              <w:top w:val="single" w:sz="4" w:space="0" w:color="auto"/>
              <w:left w:val="single" w:sz="4" w:space="0" w:color="auto"/>
              <w:bottom w:val="single" w:sz="4" w:space="0" w:color="auto"/>
              <w:right w:val="single" w:sz="4" w:space="0" w:color="auto"/>
            </w:tcBorders>
          </w:tcPr>
          <w:p w:rsidR="00BD5C2B" w:rsidRPr="009E25A0" w:rsidRDefault="00BD5C2B" w:rsidP="00D812F1">
            <w:pPr>
              <w:rPr>
                <w:b/>
                <w:bCs/>
                <w:lang w:eastAsia="en-US"/>
              </w:rPr>
            </w:pPr>
            <w:r w:rsidRPr="009E25A0">
              <w:rPr>
                <w:b/>
                <w:bCs/>
                <w:lang w:eastAsia="en-US"/>
              </w:rPr>
              <w:t>12</w:t>
            </w:r>
          </w:p>
        </w:tc>
        <w:tc>
          <w:tcPr>
            <w:tcW w:w="1178" w:type="pct"/>
            <w:tcBorders>
              <w:top w:val="single" w:sz="4" w:space="0" w:color="auto"/>
              <w:left w:val="single" w:sz="4" w:space="0" w:color="auto"/>
              <w:bottom w:val="single" w:sz="4" w:space="0" w:color="auto"/>
              <w:right w:val="single" w:sz="4" w:space="0" w:color="auto"/>
            </w:tcBorders>
          </w:tcPr>
          <w:p w:rsidR="00BD5C2B" w:rsidRPr="009E25A0" w:rsidRDefault="00BD5C2B" w:rsidP="000C4E83">
            <w:pPr>
              <w:autoSpaceDE w:val="0"/>
              <w:autoSpaceDN w:val="0"/>
            </w:pPr>
            <w:r w:rsidRPr="009E25A0">
              <w:t>Фактическое присоединение объектов заявителя</w:t>
            </w:r>
            <w:r w:rsidR="002C6701">
              <w:br/>
            </w:r>
            <w:r w:rsidRPr="009E25A0">
              <w:t>и фактический прием (подача) напряжения и мощности.</w:t>
            </w:r>
          </w:p>
          <w:p w:rsidR="00BD5C2B" w:rsidRPr="009E25A0" w:rsidRDefault="00BD5C2B" w:rsidP="000C4E83">
            <w:pPr>
              <w:autoSpaceDE w:val="0"/>
              <w:autoSpaceDN w:val="0"/>
            </w:pPr>
          </w:p>
        </w:tc>
        <w:tc>
          <w:tcPr>
            <w:tcW w:w="1421" w:type="pct"/>
            <w:tcBorders>
              <w:top w:val="single" w:sz="4" w:space="0" w:color="auto"/>
              <w:left w:val="single" w:sz="4" w:space="0" w:color="auto"/>
              <w:bottom w:val="single" w:sz="4" w:space="0" w:color="auto"/>
              <w:right w:val="single" w:sz="4" w:space="0" w:color="auto"/>
            </w:tcBorders>
          </w:tcPr>
          <w:p w:rsidR="00BD5C2B" w:rsidRPr="009E25A0" w:rsidRDefault="00BD5C2B" w:rsidP="000C4E83">
            <w:pPr>
              <w:autoSpaceDE w:val="0"/>
              <w:autoSpaceDN w:val="0"/>
            </w:pPr>
            <w:r w:rsidRPr="009E25A0">
              <w:t xml:space="preserve">Комплекс технических </w:t>
            </w:r>
            <w:r w:rsidR="002C6701">
              <w:br/>
            </w:r>
            <w:r w:rsidRPr="009E25A0">
              <w:t>и организационных мероприятий, обеспечивающих физическое соединение (контакт) объектов электросетевого хозяйства сетевой организации, в которую была подана заявка, и объектов электроэнергетики (энергопринимающих устройств) заявителя. Фактический прием (подача) напряжения и мощности осуществляется путем включения коммутационного аппарата (фиксация коммутационного аппарата в положении «включено»).</w:t>
            </w:r>
          </w:p>
        </w:tc>
        <w:tc>
          <w:tcPr>
            <w:tcW w:w="1372" w:type="pct"/>
            <w:tcBorders>
              <w:top w:val="single" w:sz="4" w:space="0" w:color="auto"/>
              <w:left w:val="single" w:sz="4" w:space="0" w:color="auto"/>
              <w:bottom w:val="single" w:sz="4" w:space="0" w:color="auto"/>
              <w:right w:val="single" w:sz="4" w:space="0" w:color="auto"/>
            </w:tcBorders>
          </w:tcPr>
          <w:p w:rsidR="00BD5C2B" w:rsidRPr="009E25A0" w:rsidRDefault="00BD5C2B" w:rsidP="000C4E83">
            <w:pPr>
              <w:autoSpaceDE w:val="0"/>
              <w:autoSpaceDN w:val="0"/>
            </w:pPr>
            <w:r w:rsidRPr="009E25A0">
              <w:t xml:space="preserve">По завершению мероприятий </w:t>
            </w:r>
            <w:r w:rsidR="002C6701">
              <w:br/>
            </w:r>
            <w:r w:rsidRPr="009E25A0">
              <w:t>по проверке выполнения технических условий</w:t>
            </w:r>
          </w:p>
          <w:p w:rsidR="00BD5C2B" w:rsidRPr="009E25A0" w:rsidRDefault="00BD5C2B" w:rsidP="000C4E83">
            <w:pPr>
              <w:autoSpaceDE w:val="0"/>
              <w:autoSpaceDN w:val="0"/>
            </w:pPr>
            <w:r w:rsidRPr="009E25A0">
              <w:t>При наличии документов:</w:t>
            </w:r>
          </w:p>
          <w:p w:rsidR="00BD5C2B" w:rsidRPr="009E25A0" w:rsidRDefault="00BD5C2B" w:rsidP="000C4E83">
            <w:pPr>
              <w:autoSpaceDE w:val="0"/>
              <w:autoSpaceDN w:val="0"/>
            </w:pPr>
            <w:r w:rsidRPr="009E25A0">
              <w:t>- акт о выполнении технических условий;</w:t>
            </w:r>
          </w:p>
          <w:p w:rsidR="00BD5C2B" w:rsidRPr="009E25A0" w:rsidRDefault="00BD5C2B" w:rsidP="000C4E83">
            <w:pPr>
              <w:autoSpaceDE w:val="0"/>
              <w:autoSpaceDN w:val="0"/>
            </w:pPr>
            <w:r w:rsidRPr="009E25A0">
              <w:t>- акт согласования технологической и (или) аварийной брони (при необходимости его оформления);</w:t>
            </w:r>
          </w:p>
          <w:p w:rsidR="00BD5C2B" w:rsidRPr="009E25A0" w:rsidRDefault="00BD5C2B" w:rsidP="000C4E83">
            <w:pPr>
              <w:autoSpaceDE w:val="0"/>
              <w:autoSpaceDN w:val="0"/>
            </w:pPr>
            <w:r w:rsidRPr="009E25A0">
              <w:t>- акт допуска в эксплуатацию приборов учета;</w:t>
            </w:r>
          </w:p>
          <w:p w:rsidR="00BD5C2B" w:rsidRPr="009E25A0" w:rsidRDefault="00BD5C2B" w:rsidP="002C6701">
            <w:pPr>
              <w:autoSpaceDE w:val="0"/>
              <w:autoSpaceDN w:val="0"/>
            </w:pPr>
            <w:r w:rsidRPr="009E25A0">
              <w:t xml:space="preserve">- разрешение на допуск </w:t>
            </w:r>
            <w:r w:rsidR="002C6701">
              <w:br/>
            </w:r>
            <w:r w:rsidRPr="009E25A0">
              <w:t>в эксплуатацию, выданное органном федерального государственного энергетического надзора (в предусмотренных законодательством случаях).</w:t>
            </w:r>
          </w:p>
        </w:tc>
        <w:tc>
          <w:tcPr>
            <w:tcW w:w="833" w:type="pct"/>
            <w:vMerge/>
            <w:tcBorders>
              <w:left w:val="single" w:sz="4" w:space="0" w:color="auto"/>
              <w:right w:val="single" w:sz="4" w:space="0" w:color="auto"/>
            </w:tcBorders>
          </w:tcPr>
          <w:p w:rsidR="00BD5C2B" w:rsidRPr="009E25A0" w:rsidRDefault="00BD5C2B" w:rsidP="000C4E83">
            <w:pPr>
              <w:autoSpaceDE w:val="0"/>
              <w:autoSpaceDN w:val="0"/>
            </w:pPr>
          </w:p>
        </w:tc>
      </w:tr>
      <w:tr w:rsidR="00BD5C2B" w:rsidRPr="009E25A0" w:rsidTr="009E25A0">
        <w:trPr>
          <w:trHeight w:val="86"/>
        </w:trPr>
        <w:tc>
          <w:tcPr>
            <w:tcW w:w="196" w:type="pct"/>
            <w:tcBorders>
              <w:top w:val="single" w:sz="4" w:space="0" w:color="auto"/>
              <w:left w:val="single" w:sz="4" w:space="0" w:color="auto"/>
              <w:bottom w:val="single" w:sz="4" w:space="0" w:color="auto"/>
              <w:right w:val="single" w:sz="4" w:space="0" w:color="auto"/>
            </w:tcBorders>
          </w:tcPr>
          <w:p w:rsidR="00BD5C2B" w:rsidRPr="009E25A0" w:rsidRDefault="00BD5C2B" w:rsidP="00D812F1">
            <w:pPr>
              <w:rPr>
                <w:b/>
                <w:bCs/>
                <w:lang w:eastAsia="en-US"/>
              </w:rPr>
            </w:pPr>
            <w:r w:rsidRPr="009E25A0">
              <w:rPr>
                <w:b/>
                <w:bCs/>
                <w:lang w:eastAsia="en-US"/>
              </w:rPr>
              <w:t>13</w:t>
            </w:r>
          </w:p>
        </w:tc>
        <w:tc>
          <w:tcPr>
            <w:tcW w:w="1178" w:type="pct"/>
            <w:tcBorders>
              <w:top w:val="single" w:sz="4" w:space="0" w:color="auto"/>
              <w:left w:val="single" w:sz="4" w:space="0" w:color="auto"/>
              <w:bottom w:val="single" w:sz="4" w:space="0" w:color="auto"/>
              <w:right w:val="single" w:sz="4" w:space="0" w:color="auto"/>
            </w:tcBorders>
          </w:tcPr>
          <w:p w:rsidR="00BD5C2B" w:rsidRPr="009E25A0" w:rsidRDefault="00BD5C2B" w:rsidP="000C4E83">
            <w:pPr>
              <w:autoSpaceDE w:val="0"/>
              <w:autoSpaceDN w:val="0"/>
            </w:pPr>
            <w:r w:rsidRPr="009E25A0">
              <w:t>Оформление документации подтверждающей технологическое присоединение</w:t>
            </w:r>
          </w:p>
        </w:tc>
        <w:tc>
          <w:tcPr>
            <w:tcW w:w="1421" w:type="pct"/>
            <w:tcBorders>
              <w:top w:val="single" w:sz="4" w:space="0" w:color="auto"/>
              <w:left w:val="single" w:sz="4" w:space="0" w:color="auto"/>
              <w:bottom w:val="single" w:sz="4" w:space="0" w:color="auto"/>
              <w:right w:val="single" w:sz="4" w:space="0" w:color="auto"/>
            </w:tcBorders>
          </w:tcPr>
          <w:p w:rsidR="00BD5C2B" w:rsidRPr="009E25A0" w:rsidRDefault="00BD5C2B" w:rsidP="000C4E83">
            <w:pPr>
              <w:autoSpaceDE w:val="0"/>
              <w:autoSpaceDN w:val="0"/>
            </w:pPr>
            <w:r w:rsidRPr="009E25A0">
              <w:t>Акт об осуществлении технологического присоединения</w:t>
            </w:r>
          </w:p>
        </w:tc>
        <w:tc>
          <w:tcPr>
            <w:tcW w:w="1372" w:type="pct"/>
            <w:tcBorders>
              <w:top w:val="single" w:sz="4" w:space="0" w:color="auto"/>
              <w:left w:val="single" w:sz="4" w:space="0" w:color="auto"/>
              <w:bottom w:val="single" w:sz="4" w:space="0" w:color="auto"/>
              <w:right w:val="single" w:sz="4" w:space="0" w:color="auto"/>
            </w:tcBorders>
          </w:tcPr>
          <w:p w:rsidR="00BD5C2B" w:rsidRPr="009E25A0" w:rsidRDefault="00BD5C2B" w:rsidP="000C4E83">
            <w:pPr>
              <w:autoSpaceDE w:val="0"/>
              <w:autoSpaceDN w:val="0"/>
            </w:pPr>
            <w:r w:rsidRPr="009E25A0">
              <w:t>3 рабочих дня с даты фактического присоединения</w:t>
            </w:r>
          </w:p>
        </w:tc>
        <w:tc>
          <w:tcPr>
            <w:tcW w:w="833" w:type="pct"/>
            <w:vMerge/>
            <w:tcBorders>
              <w:left w:val="single" w:sz="4" w:space="0" w:color="auto"/>
              <w:right w:val="single" w:sz="4" w:space="0" w:color="auto"/>
            </w:tcBorders>
          </w:tcPr>
          <w:p w:rsidR="00BD5C2B" w:rsidRPr="009E25A0" w:rsidRDefault="00BD5C2B" w:rsidP="000C4E83">
            <w:pPr>
              <w:autoSpaceDE w:val="0"/>
              <w:autoSpaceDN w:val="0"/>
            </w:pPr>
          </w:p>
        </w:tc>
      </w:tr>
    </w:tbl>
    <w:p w:rsidR="00AE17C7" w:rsidRDefault="00AE17C7" w:rsidP="00AE17C7">
      <w:pPr>
        <w:pStyle w:val="ConsPlusNonformat"/>
        <w:jc w:val="both"/>
        <w:rPr>
          <w:rFonts w:ascii="Times New Roman" w:hAnsi="Times New Roman" w:cs="Times New Roman"/>
          <w:sz w:val="24"/>
          <w:szCs w:val="24"/>
        </w:rPr>
      </w:pPr>
    </w:p>
    <w:p w:rsidR="00AE17C7" w:rsidRPr="00AE17C7" w:rsidRDefault="00AE17C7" w:rsidP="00AE17C7">
      <w:pPr>
        <w:pStyle w:val="ConsPlusNonformat"/>
        <w:jc w:val="both"/>
        <w:rPr>
          <w:rFonts w:ascii="Times New Roman" w:hAnsi="Times New Roman" w:cs="Times New Roman"/>
          <w:b/>
          <w:sz w:val="24"/>
          <w:szCs w:val="24"/>
        </w:rPr>
      </w:pPr>
      <w:r w:rsidRPr="00AE17C7">
        <w:rPr>
          <w:rFonts w:ascii="Times New Roman" w:hAnsi="Times New Roman" w:cs="Times New Roman"/>
          <w:b/>
          <w:sz w:val="24"/>
          <w:szCs w:val="24"/>
        </w:rPr>
        <w:t xml:space="preserve">Контактная информация: </w:t>
      </w:r>
    </w:p>
    <w:p w:rsidR="00AE17C7" w:rsidRPr="00AE17C7" w:rsidRDefault="00AE17C7" w:rsidP="00AE17C7">
      <w:pPr>
        <w:pStyle w:val="ConsPlusNonformat"/>
        <w:jc w:val="both"/>
        <w:rPr>
          <w:rFonts w:ascii="Times New Roman" w:hAnsi="Times New Roman" w:cs="Times New Roman"/>
          <w:sz w:val="24"/>
          <w:szCs w:val="24"/>
        </w:rPr>
      </w:pPr>
      <w:r w:rsidRPr="00AE17C7">
        <w:rPr>
          <w:rFonts w:ascii="Times New Roman" w:hAnsi="Times New Roman" w:cs="Times New Roman"/>
          <w:sz w:val="24"/>
          <w:szCs w:val="24"/>
        </w:rPr>
        <w:t>Подача заявки через «личный кабинет» на портале АО «ОЭК»: https://itp.uneco.ru/</w:t>
      </w:r>
    </w:p>
    <w:p w:rsidR="00AE17C7" w:rsidRPr="00AE17C7" w:rsidRDefault="00AE17C7" w:rsidP="00AE17C7">
      <w:pPr>
        <w:pStyle w:val="ConsPlusNonformat"/>
        <w:jc w:val="both"/>
        <w:rPr>
          <w:rFonts w:ascii="Times New Roman" w:hAnsi="Times New Roman" w:cs="Times New Roman"/>
          <w:sz w:val="24"/>
          <w:szCs w:val="24"/>
        </w:rPr>
      </w:pPr>
      <w:r w:rsidRPr="00AE17C7">
        <w:rPr>
          <w:rFonts w:ascii="Times New Roman" w:hAnsi="Times New Roman" w:cs="Times New Roman"/>
          <w:sz w:val="24"/>
          <w:szCs w:val="24"/>
        </w:rPr>
        <w:t xml:space="preserve">Подача заявки через «личный кабинет» на Официальном портале Мэра и Правительства Москвы: www.mos.ru.  </w:t>
      </w:r>
    </w:p>
    <w:p w:rsidR="00AE17C7" w:rsidRPr="00AE17C7" w:rsidRDefault="00AE17C7" w:rsidP="00AE17C7">
      <w:pPr>
        <w:pStyle w:val="ConsPlusNonformat"/>
        <w:jc w:val="both"/>
        <w:rPr>
          <w:rFonts w:ascii="Times New Roman" w:hAnsi="Times New Roman" w:cs="Times New Roman"/>
          <w:sz w:val="24"/>
          <w:szCs w:val="24"/>
        </w:rPr>
      </w:pPr>
      <w:r w:rsidRPr="00AE17C7">
        <w:rPr>
          <w:rFonts w:ascii="Times New Roman" w:hAnsi="Times New Roman" w:cs="Times New Roman"/>
          <w:sz w:val="24"/>
          <w:szCs w:val="24"/>
        </w:rPr>
        <w:t xml:space="preserve">Подача заявки через клиентский офис АО «ОЭК»: </w:t>
      </w:r>
    </w:p>
    <w:p w:rsidR="00AE17C7" w:rsidRPr="00AE17C7" w:rsidRDefault="00AE17C7" w:rsidP="00AE17C7">
      <w:pPr>
        <w:pStyle w:val="ConsPlusNonformat"/>
        <w:jc w:val="both"/>
        <w:rPr>
          <w:rFonts w:ascii="Times New Roman" w:hAnsi="Times New Roman" w:cs="Times New Roman"/>
          <w:sz w:val="24"/>
          <w:szCs w:val="24"/>
        </w:rPr>
      </w:pPr>
      <w:r w:rsidRPr="00AE17C7">
        <w:rPr>
          <w:rFonts w:ascii="Times New Roman" w:hAnsi="Times New Roman" w:cs="Times New Roman"/>
          <w:sz w:val="24"/>
          <w:szCs w:val="24"/>
        </w:rPr>
        <w:t>- г. Москва, Раушская набережная, д. 8;</w:t>
      </w:r>
    </w:p>
    <w:p w:rsidR="00AE17C7" w:rsidRPr="00AE17C7" w:rsidRDefault="00AE17C7" w:rsidP="00AE17C7">
      <w:pPr>
        <w:pStyle w:val="ConsPlusNonformat"/>
        <w:jc w:val="both"/>
        <w:rPr>
          <w:rFonts w:ascii="Times New Roman" w:hAnsi="Times New Roman" w:cs="Times New Roman"/>
          <w:sz w:val="24"/>
          <w:szCs w:val="24"/>
        </w:rPr>
      </w:pPr>
      <w:r w:rsidRPr="00AE17C7">
        <w:rPr>
          <w:rFonts w:ascii="Times New Roman" w:hAnsi="Times New Roman" w:cs="Times New Roman"/>
          <w:sz w:val="24"/>
          <w:szCs w:val="24"/>
        </w:rPr>
        <w:t>- г. Троицк, ул. Полковника Милиции Курочкина, д. 8, офис 302 (3 этаж).</w:t>
      </w:r>
    </w:p>
    <w:p w:rsidR="00AE17C7" w:rsidRPr="00AE17C7" w:rsidRDefault="00AE17C7" w:rsidP="00AE17C7">
      <w:pPr>
        <w:pStyle w:val="ConsPlusNonformat"/>
        <w:jc w:val="both"/>
        <w:rPr>
          <w:rFonts w:ascii="Times New Roman" w:hAnsi="Times New Roman" w:cs="Times New Roman"/>
          <w:sz w:val="24"/>
          <w:szCs w:val="24"/>
        </w:rPr>
      </w:pPr>
      <w:r w:rsidRPr="00AE17C7">
        <w:rPr>
          <w:rFonts w:ascii="Times New Roman" w:hAnsi="Times New Roman" w:cs="Times New Roman"/>
          <w:sz w:val="24"/>
          <w:szCs w:val="24"/>
        </w:rPr>
        <w:t>Подача заявки посредством направления почтой: 115035, Москва, Раушская набережная, д. 8</w:t>
      </w:r>
    </w:p>
    <w:p w:rsidR="00AE17C7" w:rsidRPr="00AE17C7" w:rsidRDefault="00AE17C7" w:rsidP="00AE17C7">
      <w:pPr>
        <w:pStyle w:val="ConsPlusNonformat"/>
        <w:jc w:val="both"/>
        <w:rPr>
          <w:rFonts w:ascii="Times New Roman" w:hAnsi="Times New Roman" w:cs="Times New Roman"/>
          <w:sz w:val="24"/>
          <w:szCs w:val="24"/>
        </w:rPr>
      </w:pPr>
      <w:r w:rsidRPr="00AE17C7">
        <w:rPr>
          <w:rFonts w:ascii="Times New Roman" w:hAnsi="Times New Roman" w:cs="Times New Roman"/>
          <w:sz w:val="24"/>
          <w:szCs w:val="24"/>
        </w:rPr>
        <w:t>Подача обращений на электронную почту: connection@uneco.ru</w:t>
      </w:r>
    </w:p>
    <w:p w:rsidR="004F3CBD" w:rsidRPr="00AE17C7" w:rsidRDefault="00AE17C7" w:rsidP="00AE17C7">
      <w:pPr>
        <w:pStyle w:val="ConsPlusNonformat"/>
        <w:jc w:val="both"/>
        <w:rPr>
          <w:rFonts w:ascii="Times New Roman" w:hAnsi="Times New Roman" w:cs="Times New Roman"/>
          <w:b/>
          <w:sz w:val="24"/>
          <w:szCs w:val="24"/>
        </w:rPr>
      </w:pPr>
      <w:r w:rsidRPr="00AE17C7">
        <w:rPr>
          <w:rFonts w:ascii="Times New Roman" w:hAnsi="Times New Roman" w:cs="Times New Roman"/>
          <w:b/>
          <w:sz w:val="24"/>
          <w:szCs w:val="24"/>
        </w:rPr>
        <w:t>Телефон горячей линии по технологическому</w:t>
      </w:r>
      <w:bookmarkStart w:id="13" w:name="_GoBack"/>
      <w:bookmarkEnd w:id="13"/>
      <w:r w:rsidRPr="00AE17C7">
        <w:rPr>
          <w:rFonts w:ascii="Times New Roman" w:hAnsi="Times New Roman" w:cs="Times New Roman"/>
          <w:b/>
          <w:sz w:val="24"/>
          <w:szCs w:val="24"/>
        </w:rPr>
        <w:t xml:space="preserve"> присоединению: +7 (495) 657-90-95</w:t>
      </w:r>
    </w:p>
    <w:sectPr w:rsidR="004F3CBD" w:rsidRPr="00AE17C7" w:rsidSect="0092293A">
      <w:pgSz w:w="16838" w:h="11906" w:orient="landscape"/>
      <w:pgMar w:top="426" w:right="1134"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279" w:rsidRDefault="00604279" w:rsidP="00136CFB">
      <w:r>
        <w:separator/>
      </w:r>
    </w:p>
  </w:endnote>
  <w:endnote w:type="continuationSeparator" w:id="0">
    <w:p w:rsidR="00604279" w:rsidRDefault="00604279" w:rsidP="00136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279" w:rsidRDefault="00604279" w:rsidP="00136CFB">
      <w:r>
        <w:separator/>
      </w:r>
    </w:p>
  </w:footnote>
  <w:footnote w:type="continuationSeparator" w:id="0">
    <w:p w:rsidR="00604279" w:rsidRDefault="00604279" w:rsidP="00136C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F71C1"/>
    <w:multiLevelType w:val="hybridMultilevel"/>
    <w:tmpl w:val="83689624"/>
    <w:lvl w:ilvl="0" w:tplc="02D4E582">
      <w:start w:val="1"/>
      <w:numFmt w:val="bullet"/>
      <w:lvlText w:val=""/>
      <w:lvlJc w:val="left"/>
      <w:pPr>
        <w:ind w:left="899" w:hanging="360"/>
      </w:pPr>
      <w:rPr>
        <w:rFonts w:ascii="Symbol" w:hAnsi="Symbol"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 w15:restartNumberingAfterBreak="0">
    <w:nsid w:val="231C11D9"/>
    <w:multiLevelType w:val="hybridMultilevel"/>
    <w:tmpl w:val="E4D8CA8C"/>
    <w:lvl w:ilvl="0" w:tplc="76F2A5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72E5874"/>
    <w:multiLevelType w:val="multilevel"/>
    <w:tmpl w:val="A81E273E"/>
    <w:lvl w:ilvl="0">
      <w:start w:val="1"/>
      <w:numFmt w:val="decimal"/>
      <w:lvlText w:val="%1."/>
      <w:lvlJc w:val="left"/>
      <w:pPr>
        <w:ind w:left="720" w:hanging="360"/>
      </w:pPr>
      <w:rPr>
        <w:rFonts w:hint="default"/>
        <w:b/>
      </w:rPr>
    </w:lvl>
    <w:lvl w:ilvl="1">
      <w:start w:val="1"/>
      <w:numFmt w:val="decimal"/>
      <w:isLgl/>
      <w:lvlText w:val="%1.%2."/>
      <w:lvlJc w:val="left"/>
      <w:pPr>
        <w:ind w:left="1287" w:hanging="720"/>
      </w:pPr>
      <w:rPr>
        <w:rFonts w:ascii="Times New Roman" w:hAnsi="Times New Roman" w:cs="Times New Roman" w:hint="default"/>
        <w:b/>
        <w:i w:val="0"/>
        <w:color w:val="auto"/>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2840630E"/>
    <w:multiLevelType w:val="hybridMultilevel"/>
    <w:tmpl w:val="E1725EC6"/>
    <w:lvl w:ilvl="0" w:tplc="A4A278E2">
      <w:start w:val="10"/>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D4C46FD"/>
    <w:multiLevelType w:val="hybridMultilevel"/>
    <w:tmpl w:val="B586869C"/>
    <w:lvl w:ilvl="0" w:tplc="74BE065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DE95BA3"/>
    <w:multiLevelType w:val="hybridMultilevel"/>
    <w:tmpl w:val="05C46908"/>
    <w:lvl w:ilvl="0" w:tplc="F59CF4A6">
      <w:start w:val="1"/>
      <w:numFmt w:val="lowerLetter"/>
      <w:lvlText w:val="%1)"/>
      <w:lvlJc w:val="left"/>
      <w:pPr>
        <w:ind w:left="1440" w:hanging="360"/>
      </w:pPr>
      <w:rPr>
        <w:rFonts w:eastAsia="Times New Roman" w:hint="default"/>
        <w:b w:val="0"/>
        <w:sz w:val="26"/>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490341B4"/>
    <w:multiLevelType w:val="hybridMultilevel"/>
    <w:tmpl w:val="A7783932"/>
    <w:lvl w:ilvl="0" w:tplc="02D4E58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520C6096"/>
    <w:multiLevelType w:val="hybridMultilevel"/>
    <w:tmpl w:val="6C765920"/>
    <w:lvl w:ilvl="0" w:tplc="02D4E582">
      <w:start w:val="1"/>
      <w:numFmt w:val="bullet"/>
      <w:lvlText w:val=""/>
      <w:lvlJc w:val="left"/>
      <w:pPr>
        <w:ind w:left="927" w:hanging="360"/>
      </w:pPr>
      <w:rPr>
        <w:rFonts w:ascii="Symbol" w:hAnsi="Symbol"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558350F1"/>
    <w:multiLevelType w:val="hybridMultilevel"/>
    <w:tmpl w:val="E36EAC5A"/>
    <w:lvl w:ilvl="0" w:tplc="41F2695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15:restartNumberingAfterBreak="0">
    <w:nsid w:val="57D54A87"/>
    <w:multiLevelType w:val="hybridMultilevel"/>
    <w:tmpl w:val="81BEDB54"/>
    <w:lvl w:ilvl="0" w:tplc="04190011">
      <w:start w:val="1"/>
      <w:numFmt w:val="decimal"/>
      <w:lvlText w:val="%1)"/>
      <w:lvlJc w:val="left"/>
      <w:pPr>
        <w:ind w:left="927" w:hanging="360"/>
      </w:pPr>
      <w:rPr>
        <w:rFonts w:hint="default"/>
        <w:lang w:val="ru-RU"/>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6A580D4F"/>
    <w:multiLevelType w:val="hybridMultilevel"/>
    <w:tmpl w:val="9E4C762E"/>
    <w:lvl w:ilvl="0" w:tplc="4FB082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0"/>
  </w:num>
  <w:num w:numId="5">
    <w:abstractNumId w:val="5"/>
  </w:num>
  <w:num w:numId="6">
    <w:abstractNumId w:val="1"/>
  </w:num>
  <w:num w:numId="7">
    <w:abstractNumId w:val="7"/>
  </w:num>
  <w:num w:numId="8">
    <w:abstractNumId w:val="8"/>
  </w:num>
  <w:num w:numId="9">
    <w:abstractNumId w:val="9"/>
  </w:num>
  <w:num w:numId="10">
    <w:abstractNumId w:val="9"/>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CFB"/>
    <w:rsid w:val="000339BC"/>
    <w:rsid w:val="00034253"/>
    <w:rsid w:val="00057253"/>
    <w:rsid w:val="00075215"/>
    <w:rsid w:val="000776D6"/>
    <w:rsid w:val="000C4D8B"/>
    <w:rsid w:val="000C4E83"/>
    <w:rsid w:val="00123199"/>
    <w:rsid w:val="00136CFB"/>
    <w:rsid w:val="00157454"/>
    <w:rsid w:val="00186396"/>
    <w:rsid w:val="00201DF3"/>
    <w:rsid w:val="002312C4"/>
    <w:rsid w:val="00274BF0"/>
    <w:rsid w:val="002830E7"/>
    <w:rsid w:val="002C6701"/>
    <w:rsid w:val="002D7917"/>
    <w:rsid w:val="002E7AB0"/>
    <w:rsid w:val="002F462B"/>
    <w:rsid w:val="00315E61"/>
    <w:rsid w:val="003331CA"/>
    <w:rsid w:val="0036472A"/>
    <w:rsid w:val="00376C1F"/>
    <w:rsid w:val="003A22E6"/>
    <w:rsid w:val="003F00A9"/>
    <w:rsid w:val="004104D6"/>
    <w:rsid w:val="00433FA7"/>
    <w:rsid w:val="00471F66"/>
    <w:rsid w:val="00485C5B"/>
    <w:rsid w:val="004B495C"/>
    <w:rsid w:val="004B4BF7"/>
    <w:rsid w:val="004B78C7"/>
    <w:rsid w:val="004C7ACF"/>
    <w:rsid w:val="004E37B3"/>
    <w:rsid w:val="004F3CBD"/>
    <w:rsid w:val="005130DF"/>
    <w:rsid w:val="005141C6"/>
    <w:rsid w:val="00604279"/>
    <w:rsid w:val="00610B51"/>
    <w:rsid w:val="0062328C"/>
    <w:rsid w:val="006504BB"/>
    <w:rsid w:val="00653D46"/>
    <w:rsid w:val="006778E3"/>
    <w:rsid w:val="00690838"/>
    <w:rsid w:val="006B31C4"/>
    <w:rsid w:val="006F5A72"/>
    <w:rsid w:val="007059DC"/>
    <w:rsid w:val="0072371F"/>
    <w:rsid w:val="007320C7"/>
    <w:rsid w:val="00744830"/>
    <w:rsid w:val="00754B9F"/>
    <w:rsid w:val="00755168"/>
    <w:rsid w:val="0077433A"/>
    <w:rsid w:val="00777FE5"/>
    <w:rsid w:val="00791EFC"/>
    <w:rsid w:val="007D05B6"/>
    <w:rsid w:val="00814AB7"/>
    <w:rsid w:val="00817676"/>
    <w:rsid w:val="00827FD9"/>
    <w:rsid w:val="00863D88"/>
    <w:rsid w:val="008F7B15"/>
    <w:rsid w:val="00914E2D"/>
    <w:rsid w:val="0092293A"/>
    <w:rsid w:val="00940B29"/>
    <w:rsid w:val="00946BC6"/>
    <w:rsid w:val="00951E23"/>
    <w:rsid w:val="00962523"/>
    <w:rsid w:val="009B3388"/>
    <w:rsid w:val="009D5786"/>
    <w:rsid w:val="009E25A0"/>
    <w:rsid w:val="009E7E36"/>
    <w:rsid w:val="00A24E3E"/>
    <w:rsid w:val="00AB46DC"/>
    <w:rsid w:val="00AC4E91"/>
    <w:rsid w:val="00AE17C7"/>
    <w:rsid w:val="00B008AE"/>
    <w:rsid w:val="00B01840"/>
    <w:rsid w:val="00B227BD"/>
    <w:rsid w:val="00B243EC"/>
    <w:rsid w:val="00B81756"/>
    <w:rsid w:val="00BA0AEC"/>
    <w:rsid w:val="00BA29D9"/>
    <w:rsid w:val="00BD5C2B"/>
    <w:rsid w:val="00C02BFF"/>
    <w:rsid w:val="00C12C9B"/>
    <w:rsid w:val="00C22E64"/>
    <w:rsid w:val="00C63EF8"/>
    <w:rsid w:val="00CB3659"/>
    <w:rsid w:val="00CD0816"/>
    <w:rsid w:val="00CE629D"/>
    <w:rsid w:val="00D05371"/>
    <w:rsid w:val="00D055EC"/>
    <w:rsid w:val="00D14100"/>
    <w:rsid w:val="00D154FD"/>
    <w:rsid w:val="00D2070D"/>
    <w:rsid w:val="00D20929"/>
    <w:rsid w:val="00D4650F"/>
    <w:rsid w:val="00D5377E"/>
    <w:rsid w:val="00D54CAE"/>
    <w:rsid w:val="00D61F6E"/>
    <w:rsid w:val="00D6244C"/>
    <w:rsid w:val="00D812F1"/>
    <w:rsid w:val="00DA68B6"/>
    <w:rsid w:val="00DE32AA"/>
    <w:rsid w:val="00DF5A53"/>
    <w:rsid w:val="00E2046F"/>
    <w:rsid w:val="00E52099"/>
    <w:rsid w:val="00E60519"/>
    <w:rsid w:val="00E70B79"/>
    <w:rsid w:val="00E87A78"/>
    <w:rsid w:val="00E94081"/>
    <w:rsid w:val="00EC3247"/>
    <w:rsid w:val="00EC453D"/>
    <w:rsid w:val="00EC7EB3"/>
    <w:rsid w:val="00EE00EA"/>
    <w:rsid w:val="00EE3CF1"/>
    <w:rsid w:val="00F14A60"/>
    <w:rsid w:val="00F32839"/>
    <w:rsid w:val="00F72215"/>
    <w:rsid w:val="00F835E7"/>
    <w:rsid w:val="00FA07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98220"/>
  <w15:docId w15:val="{EE6437AB-4331-458B-BAB8-5E7A3B602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6CF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36CFB"/>
    <w:pPr>
      <w:keepNext/>
      <w:keepLines/>
      <w:spacing w:before="480"/>
      <w:outlineLvl w:val="0"/>
    </w:pPr>
    <w:rPr>
      <w:rFonts w:ascii="Cambria" w:hAnsi="Cambria"/>
      <w:b/>
      <w:bCs/>
      <w:color w:val="365F91"/>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6CFB"/>
    <w:rPr>
      <w:rFonts w:ascii="Cambria" w:eastAsia="Times New Roman" w:hAnsi="Cambria" w:cs="Times New Roman"/>
      <w:b/>
      <w:bCs/>
      <w:color w:val="365F91"/>
      <w:sz w:val="28"/>
      <w:szCs w:val="28"/>
      <w:lang w:val="x-none" w:eastAsia="ru-RU"/>
    </w:rPr>
  </w:style>
  <w:style w:type="paragraph" w:styleId="a3">
    <w:name w:val="List Paragraph"/>
    <w:basedOn w:val="a"/>
    <w:link w:val="a4"/>
    <w:uiPriority w:val="34"/>
    <w:qFormat/>
    <w:rsid w:val="00136CFB"/>
    <w:pPr>
      <w:ind w:left="720"/>
      <w:contextualSpacing/>
    </w:pPr>
    <w:rPr>
      <w:lang w:val="x-none"/>
    </w:rPr>
  </w:style>
  <w:style w:type="character" w:customStyle="1" w:styleId="a4">
    <w:name w:val="Абзац списка Знак"/>
    <w:link w:val="a3"/>
    <w:uiPriority w:val="34"/>
    <w:locked/>
    <w:rsid w:val="00136CFB"/>
    <w:rPr>
      <w:rFonts w:ascii="Times New Roman" w:eastAsia="Times New Roman" w:hAnsi="Times New Roman" w:cs="Times New Roman"/>
      <w:sz w:val="24"/>
      <w:szCs w:val="24"/>
      <w:lang w:val="x-none" w:eastAsia="ru-RU"/>
    </w:rPr>
  </w:style>
  <w:style w:type="character" w:styleId="a5">
    <w:name w:val="Hyperlink"/>
    <w:uiPriority w:val="99"/>
    <w:unhideWhenUsed/>
    <w:rsid w:val="00136CFB"/>
    <w:rPr>
      <w:color w:val="0000FF"/>
      <w:u w:val="single"/>
    </w:rPr>
  </w:style>
  <w:style w:type="character" w:styleId="a6">
    <w:name w:val="footnote reference"/>
    <w:unhideWhenUsed/>
    <w:rsid w:val="00136CFB"/>
    <w:rPr>
      <w:vertAlign w:val="superscript"/>
    </w:rPr>
  </w:style>
  <w:style w:type="character" w:styleId="a7">
    <w:name w:val="annotation reference"/>
    <w:basedOn w:val="a0"/>
    <w:uiPriority w:val="99"/>
    <w:semiHidden/>
    <w:unhideWhenUsed/>
    <w:rsid w:val="007320C7"/>
    <w:rPr>
      <w:sz w:val="16"/>
      <w:szCs w:val="16"/>
    </w:rPr>
  </w:style>
  <w:style w:type="paragraph" w:styleId="a8">
    <w:name w:val="annotation text"/>
    <w:basedOn w:val="a"/>
    <w:link w:val="a9"/>
    <w:uiPriority w:val="99"/>
    <w:semiHidden/>
    <w:unhideWhenUsed/>
    <w:rsid w:val="007320C7"/>
    <w:rPr>
      <w:sz w:val="20"/>
      <w:szCs w:val="20"/>
    </w:rPr>
  </w:style>
  <w:style w:type="character" w:customStyle="1" w:styleId="a9">
    <w:name w:val="Текст примечания Знак"/>
    <w:basedOn w:val="a0"/>
    <w:link w:val="a8"/>
    <w:uiPriority w:val="99"/>
    <w:semiHidden/>
    <w:rsid w:val="007320C7"/>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7320C7"/>
    <w:rPr>
      <w:b/>
      <w:bCs/>
    </w:rPr>
  </w:style>
  <w:style w:type="character" w:customStyle="1" w:styleId="ab">
    <w:name w:val="Тема примечания Знак"/>
    <w:basedOn w:val="a9"/>
    <w:link w:val="aa"/>
    <w:uiPriority w:val="99"/>
    <w:semiHidden/>
    <w:rsid w:val="007320C7"/>
    <w:rPr>
      <w:rFonts w:ascii="Times New Roman" w:eastAsia="Times New Roman" w:hAnsi="Times New Roman" w:cs="Times New Roman"/>
      <w:b/>
      <w:bCs/>
      <w:sz w:val="20"/>
      <w:szCs w:val="20"/>
      <w:lang w:eastAsia="ru-RU"/>
    </w:rPr>
  </w:style>
  <w:style w:type="paragraph" w:styleId="ac">
    <w:name w:val="Balloon Text"/>
    <w:basedOn w:val="a"/>
    <w:link w:val="ad"/>
    <w:uiPriority w:val="99"/>
    <w:semiHidden/>
    <w:unhideWhenUsed/>
    <w:rsid w:val="007320C7"/>
    <w:rPr>
      <w:rFonts w:ascii="Tahoma" w:hAnsi="Tahoma" w:cs="Tahoma"/>
      <w:sz w:val="16"/>
      <w:szCs w:val="16"/>
    </w:rPr>
  </w:style>
  <w:style w:type="character" w:customStyle="1" w:styleId="ad">
    <w:name w:val="Текст выноски Знак"/>
    <w:basedOn w:val="a0"/>
    <w:link w:val="ac"/>
    <w:uiPriority w:val="99"/>
    <w:semiHidden/>
    <w:rsid w:val="007320C7"/>
    <w:rPr>
      <w:rFonts w:ascii="Tahoma" w:eastAsia="Times New Roman" w:hAnsi="Tahoma" w:cs="Tahoma"/>
      <w:sz w:val="16"/>
      <w:szCs w:val="16"/>
      <w:lang w:eastAsia="ru-RU"/>
    </w:rPr>
  </w:style>
  <w:style w:type="character" w:styleId="ae">
    <w:name w:val="FollowedHyperlink"/>
    <w:basedOn w:val="a0"/>
    <w:uiPriority w:val="99"/>
    <w:semiHidden/>
    <w:unhideWhenUsed/>
    <w:rsid w:val="006778E3"/>
    <w:rPr>
      <w:color w:val="800080" w:themeColor="followedHyperlink"/>
      <w:u w:val="single"/>
    </w:rPr>
  </w:style>
  <w:style w:type="paragraph" w:styleId="af">
    <w:name w:val="footnote text"/>
    <w:basedOn w:val="a"/>
    <w:link w:val="af0"/>
    <w:unhideWhenUsed/>
    <w:rsid w:val="00827FD9"/>
    <w:rPr>
      <w:sz w:val="20"/>
      <w:szCs w:val="20"/>
      <w:lang w:val="x-none" w:eastAsia="x-none"/>
    </w:rPr>
  </w:style>
  <w:style w:type="character" w:customStyle="1" w:styleId="af0">
    <w:name w:val="Текст сноски Знак"/>
    <w:basedOn w:val="a0"/>
    <w:link w:val="af"/>
    <w:rsid w:val="00827FD9"/>
    <w:rPr>
      <w:rFonts w:ascii="Times New Roman" w:eastAsia="Times New Roman" w:hAnsi="Times New Roman" w:cs="Times New Roman"/>
      <w:sz w:val="20"/>
      <w:szCs w:val="20"/>
      <w:lang w:val="x-none" w:eastAsia="x-none"/>
    </w:rPr>
  </w:style>
  <w:style w:type="paragraph" w:customStyle="1" w:styleId="ConsPlusNormal">
    <w:name w:val="ConsPlusNormal"/>
    <w:link w:val="ConsPlusNormal0"/>
    <w:rsid w:val="00BA29D9"/>
    <w:pPr>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locked/>
    <w:rsid w:val="00BA29D9"/>
    <w:rPr>
      <w:rFonts w:ascii="Arial" w:eastAsia="Times New Roman" w:hAnsi="Arial" w:cs="Arial"/>
      <w:lang w:eastAsia="ru-RU"/>
    </w:rPr>
  </w:style>
  <w:style w:type="paragraph" w:customStyle="1" w:styleId="ConsPlusNonformat">
    <w:name w:val="ConsPlusNonformat"/>
    <w:basedOn w:val="a"/>
    <w:uiPriority w:val="99"/>
    <w:rsid w:val="00D61F6E"/>
    <w:pPr>
      <w:autoSpaceDE w:val="0"/>
      <w:autoSpaceDN w:val="0"/>
    </w:pPr>
    <w:rPr>
      <w:rFonts w:ascii="Courier New" w:eastAsiaTheme="minorHAnsi" w:hAnsi="Courier New" w:cs="Courier New"/>
      <w:sz w:val="20"/>
      <w:szCs w:val="20"/>
      <w:lang w:eastAsia="en-US"/>
    </w:rPr>
  </w:style>
  <w:style w:type="character" w:styleId="af1">
    <w:name w:val="Strong"/>
    <w:basedOn w:val="a0"/>
    <w:uiPriority w:val="22"/>
    <w:qFormat/>
    <w:rsid w:val="00D61F6E"/>
    <w:rPr>
      <w:b/>
      <w:bCs/>
      <w:sz w:val="24"/>
      <w:szCs w:val="24"/>
      <w:bdr w:val="none" w:sz="0" w:space="0" w:color="auto" w:frame="1"/>
      <w:vertAlign w:val="baseline"/>
    </w:rPr>
  </w:style>
  <w:style w:type="table" w:styleId="af2">
    <w:name w:val="Table Grid"/>
    <w:basedOn w:val="a1"/>
    <w:uiPriority w:val="59"/>
    <w:rsid w:val="000776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5022">
      <w:bodyDiv w:val="1"/>
      <w:marLeft w:val="0"/>
      <w:marRight w:val="0"/>
      <w:marTop w:val="0"/>
      <w:marBottom w:val="0"/>
      <w:divBdr>
        <w:top w:val="none" w:sz="0" w:space="0" w:color="auto"/>
        <w:left w:val="none" w:sz="0" w:space="0" w:color="auto"/>
        <w:bottom w:val="none" w:sz="0" w:space="0" w:color="auto"/>
        <w:right w:val="none" w:sz="0" w:space="0" w:color="auto"/>
      </w:divBdr>
    </w:div>
    <w:div w:id="1732536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A24AB70F58375740A4428BF2B8D3980F" ma:contentTypeVersion="0" ma:contentTypeDescription="Создание документа." ma:contentTypeScope="" ma:versionID="e17fbf005c18c8bbd6234ba9106572c0">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73A16A-3FB0-489E-B262-490E3E68A55A}"/>
</file>

<file path=customXml/itemProps2.xml><?xml version="1.0" encoding="utf-8"?>
<ds:datastoreItem xmlns:ds="http://schemas.openxmlformats.org/officeDocument/2006/customXml" ds:itemID="{41E60B3D-91D1-468C-A8A1-04B640B13875}"/>
</file>

<file path=customXml/itemProps3.xml><?xml version="1.0" encoding="utf-8"?>
<ds:datastoreItem xmlns:ds="http://schemas.openxmlformats.org/officeDocument/2006/customXml" ds:itemID="{3AF7708C-D948-4741-B746-DF1A87702E6E}"/>
</file>

<file path=docProps/app.xml><?xml version="1.0" encoding="utf-8"?>
<Properties xmlns="http://schemas.openxmlformats.org/officeDocument/2006/extended-properties" xmlns:vt="http://schemas.openxmlformats.org/officeDocument/2006/docPropsVTypes">
  <Template>Normal</Template>
  <TotalTime>98</TotalTime>
  <Pages>1</Pages>
  <Words>2094</Words>
  <Characters>11940</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Морозова Елена Анатольевна</dc:creator>
  <cp:lastModifiedBy>Марфина Татьяна Сергеевна</cp:lastModifiedBy>
  <cp:revision>9</cp:revision>
  <cp:lastPrinted>2023-06-07T08:19:00Z</cp:lastPrinted>
  <dcterms:created xsi:type="dcterms:W3CDTF">2024-06-27T11:52:00Z</dcterms:created>
  <dcterms:modified xsi:type="dcterms:W3CDTF">2024-07-29T11:11:00Z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0x010100A24AB70F58375740A4428BF2B8D3980F</vt:lpwstr>
  </property>
</Properties>
</file>